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FF30" w14:textId="25EA3461" w:rsidR="002A08FF" w:rsidRPr="00A40DE5" w:rsidRDefault="00A40DE5" w:rsidP="00A40DE5">
      <w:pPr>
        <w:jc w:val="center"/>
        <w:rPr>
          <w:b/>
          <w:bCs/>
          <w:sz w:val="36"/>
          <w:szCs w:val="36"/>
        </w:rPr>
      </w:pPr>
      <w:r w:rsidRPr="00A40DE5">
        <w:rPr>
          <w:b/>
          <w:bCs/>
          <w:sz w:val="36"/>
          <w:szCs w:val="36"/>
        </w:rPr>
        <w:t xml:space="preserve">Pre-course </w:t>
      </w:r>
      <w:r w:rsidR="002F5DA4">
        <w:rPr>
          <w:b/>
          <w:bCs/>
          <w:sz w:val="36"/>
          <w:szCs w:val="36"/>
        </w:rPr>
        <w:t>activities</w:t>
      </w:r>
      <w:r w:rsidR="00345075">
        <w:rPr>
          <w:b/>
          <w:bCs/>
          <w:sz w:val="36"/>
          <w:szCs w:val="36"/>
        </w:rPr>
        <w:t>: English</w:t>
      </w:r>
    </w:p>
    <w:p w14:paraId="74ED6439" w14:textId="77777777" w:rsidR="00ED4862" w:rsidRPr="00345075" w:rsidRDefault="00A40DE5" w:rsidP="007A1A8B">
      <w:pPr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075"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the start of the course, what can I be reading?</w:t>
      </w:r>
      <w:r w:rsidR="00ED4862" w:rsidRPr="00345075"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A16DA1" w14:textId="193792E3" w:rsidR="00A40DE5" w:rsidRPr="00ED4862" w:rsidRDefault="00ED4862" w:rsidP="007A1A8B">
      <w:pPr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4862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three books below all offer a starting point in thinking about teaching English – but don’t feel you have to buy/read them all!</w:t>
      </w:r>
    </w:p>
    <w:p w14:paraId="4BE71F9D" w14:textId="77777777" w:rsidR="007A1A8B" w:rsidRDefault="00A40DE5">
      <w:r>
        <w:rPr>
          <w:noProof/>
        </w:rPr>
        <w:drawing>
          <wp:anchor distT="0" distB="0" distL="114300" distR="114300" simplePos="0" relativeHeight="251660288" behindDoc="1" locked="0" layoutInCell="1" allowOverlap="1" wp14:anchorId="55880F8E" wp14:editId="71D2E43E">
            <wp:simplePos x="0" y="0"/>
            <wp:positionH relativeFrom="column">
              <wp:posOffset>0</wp:posOffset>
            </wp:positionH>
            <wp:positionV relativeFrom="paragraph">
              <wp:posOffset>-2149</wp:posOffset>
            </wp:positionV>
            <wp:extent cx="831391" cy="1252675"/>
            <wp:effectExtent l="0" t="0" r="6985" b="5080"/>
            <wp:wrapTight wrapText="bothSides">
              <wp:wrapPolygon edited="0">
                <wp:start x="0" y="0"/>
                <wp:lineTo x="0" y="21359"/>
                <wp:lineTo x="21286" y="21359"/>
                <wp:lineTo x="21286" y="0"/>
                <wp:lineTo x="0" y="0"/>
              </wp:wrapPolygon>
            </wp:wrapTight>
            <wp:docPr id="1" name="Picture 1" descr="Cover image for What Matters in English Teaching Collected Blogs and Other Writing – Barbara Blei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image for What Matters in English Teaching Collected Blogs and Other Writing – Barbara Blei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91" cy="12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</w:p>
    <w:p w14:paraId="702BDA2F" w14:textId="58555812" w:rsidR="00ED4862" w:rsidRDefault="007A1A8B">
      <w:r w:rsidRPr="00345075">
        <w:rPr>
          <w:i/>
          <w:iCs/>
        </w:rPr>
        <w:t>W</w:t>
      </w:r>
      <w:r w:rsidR="00A40DE5" w:rsidRPr="00345075">
        <w:rPr>
          <w:i/>
          <w:iCs/>
        </w:rPr>
        <w:t>hat matters in English teaching</w:t>
      </w:r>
      <w:r w:rsidR="00A40DE5">
        <w:t xml:space="preserve"> – Barbara </w:t>
      </w:r>
      <w:proofErr w:type="spellStart"/>
      <w:r w:rsidR="00A40DE5">
        <w:t>Bleiman</w:t>
      </w:r>
      <w:proofErr w:type="spellEnd"/>
    </w:p>
    <w:p w14:paraId="40F0D952" w14:textId="77777777" w:rsidR="00345075" w:rsidRDefault="00345075"/>
    <w:p w14:paraId="61217D2B" w14:textId="77777777" w:rsidR="00345075" w:rsidRDefault="00345075"/>
    <w:p w14:paraId="1254B0D0" w14:textId="77777777" w:rsidR="00345075" w:rsidRDefault="00345075"/>
    <w:p w14:paraId="0B68F655" w14:textId="5CCBD26E" w:rsidR="007A1A8B" w:rsidRDefault="00ED4862">
      <w:r w:rsidRPr="00ED4862">
        <w:rPr>
          <w:noProof/>
        </w:rPr>
        <w:drawing>
          <wp:anchor distT="0" distB="0" distL="114300" distR="114300" simplePos="0" relativeHeight="251659264" behindDoc="1" locked="0" layoutInCell="1" allowOverlap="1" wp14:anchorId="1353A59C" wp14:editId="7D4C43D3">
            <wp:simplePos x="0" y="0"/>
            <wp:positionH relativeFrom="column">
              <wp:posOffset>0</wp:posOffset>
            </wp:positionH>
            <wp:positionV relativeFrom="paragraph">
              <wp:posOffset>1612</wp:posOffset>
            </wp:positionV>
            <wp:extent cx="874390" cy="1010412"/>
            <wp:effectExtent l="0" t="0" r="2540" b="0"/>
            <wp:wrapTight wrapText="bothSides">
              <wp:wrapPolygon edited="0">
                <wp:start x="0" y="0"/>
                <wp:lineTo x="0" y="21179"/>
                <wp:lineTo x="21192" y="21179"/>
                <wp:lineTo x="2119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0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DE5">
        <w:tab/>
      </w:r>
    </w:p>
    <w:p w14:paraId="00AB2AA2" w14:textId="56C67740" w:rsidR="00ED4862" w:rsidRDefault="00ED4862">
      <w:r w:rsidRPr="00345075">
        <w:rPr>
          <w:i/>
          <w:iCs/>
        </w:rPr>
        <w:t>Studying Fiction: A Guide for Teachers and Researchers</w:t>
      </w:r>
      <w:r>
        <w:t xml:space="preserve"> – Mason and Giovanelli</w:t>
      </w:r>
    </w:p>
    <w:p w14:paraId="187A189A" w14:textId="12299F45" w:rsidR="007A1A8B" w:rsidRDefault="00A40DE5">
      <w:r>
        <w:t xml:space="preserve">  </w:t>
      </w:r>
    </w:p>
    <w:p w14:paraId="59EF01C2" w14:textId="61CFDFBF" w:rsidR="00345075" w:rsidRDefault="00345075">
      <w:r>
        <w:rPr>
          <w:noProof/>
        </w:rPr>
        <w:drawing>
          <wp:anchor distT="0" distB="0" distL="114300" distR="114300" simplePos="0" relativeHeight="251658240" behindDoc="1" locked="0" layoutInCell="1" allowOverlap="1" wp14:anchorId="21495390" wp14:editId="24E84282">
            <wp:simplePos x="0" y="0"/>
            <wp:positionH relativeFrom="column">
              <wp:posOffset>-31115</wp:posOffset>
            </wp:positionH>
            <wp:positionV relativeFrom="paragraph">
              <wp:posOffset>275052</wp:posOffset>
            </wp:positionV>
            <wp:extent cx="862816" cy="1215676"/>
            <wp:effectExtent l="0" t="0" r="0" b="3810"/>
            <wp:wrapTight wrapText="bothSides">
              <wp:wrapPolygon edited="0">
                <wp:start x="0" y="0"/>
                <wp:lineTo x="0" y="21329"/>
                <wp:lineTo x="20996" y="21329"/>
                <wp:lineTo x="209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16" cy="12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4DFAA" w14:textId="77777777" w:rsidR="00345075" w:rsidRDefault="00345075"/>
    <w:p w14:paraId="66984E30" w14:textId="105807DD" w:rsidR="00A40DE5" w:rsidRDefault="00A40DE5">
      <w:r w:rsidRPr="00345075">
        <w:rPr>
          <w:i/>
          <w:iCs/>
        </w:rPr>
        <w:t>Learning to Teach English in the Secondary School</w:t>
      </w:r>
      <w:r>
        <w:t xml:space="preserve"> – eds. Jon Davison and Caroline Davy</w:t>
      </w:r>
    </w:p>
    <w:p w14:paraId="4B99DEFD" w14:textId="77777777" w:rsidR="00345075" w:rsidRDefault="00345075"/>
    <w:p w14:paraId="1E07E7FE" w14:textId="77777777" w:rsidR="00345075" w:rsidRDefault="00345075"/>
    <w:p w14:paraId="2B08EF51" w14:textId="629796AF" w:rsidR="00A40DE5" w:rsidRDefault="00A40DE5">
      <w:r>
        <w:t>Also –</w:t>
      </w:r>
      <w:r w:rsidR="00345075">
        <w:t xml:space="preserve"> have a look at the GCSE websites for AQA and Edexcel (the most popular exam board specifications) for their current set text lists, and</w:t>
      </w:r>
      <w:r>
        <w:t xml:space="preserve"> at the websites for National Association for Teaching English (NATE) and the English and Media Centre (EMC). </w:t>
      </w:r>
      <w:r w:rsidR="00345075">
        <w:t xml:space="preserve">If you feel you haven’t read much teen fiction recently, you might try something from the Carnegie 2025 shortlist: </w:t>
      </w:r>
      <w:hyperlink r:id="rId11" w:history="1">
        <w:r w:rsidR="00345075" w:rsidRPr="00F23B40">
          <w:rPr>
            <w:rStyle w:val="Hyperlink"/>
          </w:rPr>
          <w:t>https://</w:t>
        </w:r>
        <w:r w:rsidR="00345075" w:rsidRPr="00F23B40">
          <w:rPr>
            <w:rStyle w:val="Hyperlink"/>
          </w:rPr>
          <w:t>carnegies.co.uk/writing-shortlist-2025/</w:t>
        </w:r>
      </w:hyperlink>
      <w:r w:rsidR="00345075">
        <w:t xml:space="preserve">  If you are underconfident about Shakespeare, have a look at </w:t>
      </w:r>
      <w:r w:rsidR="00345075" w:rsidRPr="00345075">
        <w:rPr>
          <w:i/>
          <w:iCs/>
        </w:rPr>
        <w:t>Macbeth</w:t>
      </w:r>
      <w:r w:rsidR="00345075">
        <w:t xml:space="preserve"> and </w:t>
      </w:r>
      <w:r w:rsidR="00345075" w:rsidRPr="00345075">
        <w:rPr>
          <w:i/>
          <w:iCs/>
        </w:rPr>
        <w:t>Romeo and Juliet</w:t>
      </w:r>
      <w:r w:rsidR="00345075">
        <w:t>, which remain the most popular GCSE choices.</w:t>
      </w:r>
    </w:p>
    <w:p w14:paraId="3D3E0D96" w14:textId="5C9FF85C" w:rsidR="00A40DE5" w:rsidRPr="00345075" w:rsidRDefault="00A40DE5" w:rsidP="007A1A8B">
      <w:pPr>
        <w:rPr>
          <w:b/>
          <w:bCs/>
          <w:color w:val="FF0000"/>
        </w:rPr>
      </w:pPr>
      <w:r w:rsidRPr="00345075">
        <w:rPr>
          <w:b/>
          <w:bCs/>
          <w:color w:val="FF0000"/>
        </w:rPr>
        <w:t>Before the start of the course, what can I be doing to prepare?</w:t>
      </w:r>
    </w:p>
    <w:p w14:paraId="0007C501" w14:textId="479A2458" w:rsidR="00A40DE5" w:rsidRDefault="00A40DE5" w:rsidP="00A40DE5">
      <w:pPr>
        <w:pStyle w:val="ListParagraph"/>
        <w:numPr>
          <w:ilvl w:val="0"/>
          <w:numId w:val="1"/>
        </w:numPr>
      </w:pPr>
      <w:r w:rsidRPr="00A40DE5">
        <w:t>Complete the subject knowledge audit, identifying any gaps in your subject knowledge</w:t>
      </w:r>
      <w:r>
        <w:t>.</w:t>
      </w:r>
    </w:p>
    <w:p w14:paraId="7F710F0B" w14:textId="77777777" w:rsidR="00A40DE5" w:rsidRPr="00A40DE5" w:rsidRDefault="00A40DE5" w:rsidP="00A40DE5">
      <w:pPr>
        <w:pStyle w:val="ListParagraph"/>
      </w:pPr>
    </w:p>
    <w:p w14:paraId="38871B55" w14:textId="3C8FD831" w:rsidR="00A40DE5" w:rsidRPr="007A1A8B" w:rsidRDefault="00A40DE5" w:rsidP="007A1A8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40DE5">
        <w:t xml:space="preserve">Take a look at the National Curriculum for English: </w:t>
      </w:r>
      <w:hyperlink r:id="rId12" w:history="1">
        <w:r w:rsidRPr="00A40DE5">
          <w:rPr>
            <w:u w:val="single"/>
          </w:rPr>
          <w:t>National curriculum in England: English programmes of study - GOV.UK (www.gov.uk)</w:t>
        </w:r>
      </w:hyperlink>
      <w:r w:rsidRPr="00A40DE5">
        <w:t xml:space="preserve"> </w:t>
      </w:r>
    </w:p>
    <w:p w14:paraId="54839448" w14:textId="77777777" w:rsidR="007A1A8B" w:rsidRPr="007A1A8B" w:rsidRDefault="007A1A8B" w:rsidP="007A1A8B">
      <w:pPr>
        <w:pStyle w:val="ListParagraph"/>
        <w:rPr>
          <w:b/>
          <w:bCs/>
          <w:u w:val="single"/>
        </w:rPr>
      </w:pPr>
    </w:p>
    <w:p w14:paraId="20083183" w14:textId="7A9B913A" w:rsidR="007A1A8B" w:rsidRPr="007A1A8B" w:rsidRDefault="007A1A8B" w:rsidP="007A1A8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A1A8B">
        <w:t>Have a go at a GCSE English paper</w:t>
      </w:r>
      <w:r w:rsidR="00345075">
        <w:t xml:space="preserve"> to remind yourself of its challenges</w:t>
      </w:r>
      <w:r w:rsidRPr="007A1A8B">
        <w:t>:</w:t>
      </w:r>
    </w:p>
    <w:p w14:paraId="259A608B" w14:textId="7A731C6A" w:rsidR="007A1A8B" w:rsidRPr="007A1A8B" w:rsidRDefault="007A1A8B" w:rsidP="007A1A8B">
      <w:pPr>
        <w:rPr>
          <w:u w:val="single"/>
        </w:rPr>
      </w:pPr>
      <w:r w:rsidRPr="007A1A8B">
        <w:t xml:space="preserve"> </w:t>
      </w:r>
      <w:hyperlink r:id="rId13" w:history="1">
        <w:r w:rsidRPr="007A1A8B">
          <w:rPr>
            <w:u w:val="single"/>
          </w:rPr>
          <w:t>Insert: Paper 1 Explorations in creative reading and writing - June 2017 (aqa.org.uk)</w:t>
        </w:r>
      </w:hyperlink>
      <w:r w:rsidRPr="007A1A8B">
        <w:t xml:space="preserve"> </w:t>
      </w:r>
    </w:p>
    <w:p w14:paraId="6120377F" w14:textId="0CB237D6" w:rsidR="006341FE" w:rsidRPr="002F5DA4" w:rsidRDefault="00000000" w:rsidP="002F5DA4">
      <w:pPr>
        <w:rPr>
          <w:u w:val="single"/>
        </w:rPr>
      </w:pPr>
      <w:hyperlink r:id="rId14" w:history="1">
        <w:r w:rsidR="007A1A8B" w:rsidRPr="007A1A8B">
          <w:rPr>
            <w:rStyle w:val="Hyperlink"/>
            <w:color w:val="auto"/>
          </w:rPr>
          <w:t>https://filestore.aqa.org.uk/sample-papers-and-mark-schemes/2017/june/AQA-87001-QP-JUN17.PDF</w:t>
        </w:r>
      </w:hyperlink>
      <w:r w:rsidR="007A1A8B" w:rsidRPr="007A1A8B">
        <w:rPr>
          <w:u w:val="single"/>
        </w:rPr>
        <w:t xml:space="preserve"> </w:t>
      </w:r>
      <w:r w:rsidR="006341FE">
        <w:t xml:space="preserve"> </w:t>
      </w:r>
    </w:p>
    <w:sectPr w:rsidR="006341FE" w:rsidRPr="002F5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6EF"/>
    <w:multiLevelType w:val="hybridMultilevel"/>
    <w:tmpl w:val="1CF4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16E5"/>
    <w:multiLevelType w:val="hybridMultilevel"/>
    <w:tmpl w:val="1332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00154">
    <w:abstractNumId w:val="1"/>
  </w:num>
  <w:num w:numId="2" w16cid:durableId="205757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E5"/>
    <w:rsid w:val="00067942"/>
    <w:rsid w:val="002A08FF"/>
    <w:rsid w:val="002F5DA4"/>
    <w:rsid w:val="00345075"/>
    <w:rsid w:val="0045415A"/>
    <w:rsid w:val="006341FE"/>
    <w:rsid w:val="007A1A8B"/>
    <w:rsid w:val="00A40DE5"/>
    <w:rsid w:val="00E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A533"/>
  <w15:chartTrackingRefBased/>
  <w15:docId w15:val="{0964E551-8404-41BB-B5F3-51637E7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lestore.aqa.org.uk/sample-papers-and-mark-schemes/2017/june/AQA-87001-INS-JUN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national-curriculum-in-england-english-programmes-of-study/national-curriculum-in-england-english-programmes-of-stud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negies.co.uk/writing-shortlist-2025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filestore.aqa.org.uk/sample-papers-and-mark-schemes/2017/june/AQA-87001-QP-JUN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2613c-dd9e-4638-8bfb-847ace8c5567">
      <Terms xmlns="http://schemas.microsoft.com/office/infopath/2007/PartnerControls"/>
    </lcf76f155ced4ddcb4097134ff3c332f>
    <TaxCatchAll xmlns="6a019fe4-2842-4577-84ed-b717b34f1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0155045FBB4288260901E9AAF32C" ma:contentTypeVersion="15" ma:contentTypeDescription="Create a new document." ma:contentTypeScope="" ma:versionID="7bef0e76e456cd5aa6ca49e724504dea">
  <xsd:schema xmlns:xsd="http://www.w3.org/2001/XMLSchema" xmlns:xs="http://www.w3.org/2001/XMLSchema" xmlns:p="http://schemas.microsoft.com/office/2006/metadata/properties" xmlns:ns2="6a019fe4-2842-4577-84ed-b717b34f1817" xmlns:ns3="eb02613c-dd9e-4638-8bfb-847ace8c5567" targetNamespace="http://schemas.microsoft.com/office/2006/metadata/properties" ma:root="true" ma:fieldsID="67785d68ea1a0282687d38f430757fac" ns2:_="" ns3:_="">
    <xsd:import namespace="6a019fe4-2842-4577-84ed-b717b34f1817"/>
    <xsd:import namespace="eb02613c-dd9e-4638-8bfb-847ace8c5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9fe4-2842-4577-84ed-b717b34f1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06ea3-b550-45e0-a919-5be03e965dac}" ma:internalName="TaxCatchAll" ma:showField="CatchAllData" ma:web="6a019fe4-2842-4577-84ed-b717b34f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613c-dd9e-4638-8bfb-847ace8c5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ED84C-B457-4A8D-A444-677EA3A41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02D80-4C5C-4BB8-B448-F86C146D5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7D9BA-4AA0-40AE-9744-6B5AD51CE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Rudman</dc:creator>
  <cp:keywords/>
  <dc:description/>
  <cp:lastModifiedBy>Charlotte Wright</cp:lastModifiedBy>
  <cp:revision>3</cp:revision>
  <dcterms:created xsi:type="dcterms:W3CDTF">2022-07-01T11:05:00Z</dcterms:created>
  <dcterms:modified xsi:type="dcterms:W3CDTF">2025-06-30T08:31:00Z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0x010100E4700155045FBB4288260901E9AAF32C</vt:lpwstr>
  </property>
</Properties>
</file>