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AE7C" w14:textId="77777777" w:rsidR="00A411F3" w:rsidRDefault="00A411F3" w:rsidP="00A411F3">
      <w:pPr>
        <w:jc w:val="right"/>
      </w:pPr>
      <w:r>
        <w:rPr>
          <w:noProof/>
          <w:lang w:eastAsia="en-GB"/>
        </w:rPr>
        <w:drawing>
          <wp:inline distT="0" distB="0" distL="0" distR="0" wp14:anchorId="54D26B16" wp14:editId="3589269D">
            <wp:extent cx="2775098" cy="932280"/>
            <wp:effectExtent l="0" t="0" r="635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eds-Trinity-University-College-logo-500p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772" cy="94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48292" w14:textId="77777777" w:rsidR="00A411F3" w:rsidRDefault="00A411F3" w:rsidP="00A411F3">
      <w:pPr>
        <w:pStyle w:val="Title"/>
      </w:pPr>
    </w:p>
    <w:p w14:paraId="58E1E55E" w14:textId="77777777" w:rsidR="00A411F3" w:rsidRDefault="00A411F3" w:rsidP="00A411F3">
      <w:pPr>
        <w:pStyle w:val="Title"/>
      </w:pPr>
    </w:p>
    <w:p w14:paraId="6D29282E" w14:textId="77777777" w:rsidR="00A411F3" w:rsidRDefault="00A411F3" w:rsidP="00A411F3">
      <w:pPr>
        <w:pStyle w:val="Title"/>
      </w:pPr>
    </w:p>
    <w:p w14:paraId="5EF74F2A" w14:textId="77777777" w:rsidR="00A411F3" w:rsidRDefault="00A411F3" w:rsidP="00A411F3">
      <w:pPr>
        <w:pStyle w:val="Title"/>
        <w:rPr>
          <w:sz w:val="144"/>
        </w:rPr>
      </w:pPr>
    </w:p>
    <w:p w14:paraId="50A4F22C" w14:textId="4D163A67" w:rsidR="00A411F3" w:rsidRPr="00A411F3" w:rsidRDefault="00A411F3" w:rsidP="00A411F3">
      <w:pPr>
        <w:pStyle w:val="Title"/>
        <w:rPr>
          <w:sz w:val="144"/>
        </w:rPr>
      </w:pPr>
      <w:r w:rsidRPr="00A411F3">
        <w:rPr>
          <w:sz w:val="144"/>
        </w:rPr>
        <w:t xml:space="preserve">PGCE </w:t>
      </w:r>
      <w:r w:rsidR="002F4A05">
        <w:rPr>
          <w:sz w:val="144"/>
        </w:rPr>
        <w:t xml:space="preserve">Maths </w:t>
      </w:r>
      <w:r w:rsidRPr="00A411F3">
        <w:rPr>
          <w:sz w:val="144"/>
        </w:rPr>
        <w:t xml:space="preserve"> </w:t>
      </w:r>
    </w:p>
    <w:p w14:paraId="62EB5BBF" w14:textId="21CBC8EA" w:rsidR="00453996" w:rsidRDefault="00A411F3" w:rsidP="00A411F3">
      <w:pPr>
        <w:pStyle w:val="Title"/>
      </w:pPr>
      <w:r>
        <w:t xml:space="preserve">Pre-Course </w:t>
      </w:r>
      <w:r w:rsidR="00C850E4">
        <w:t>Information</w:t>
      </w:r>
      <w:r>
        <w:t xml:space="preserve"> </w:t>
      </w:r>
    </w:p>
    <w:p w14:paraId="7A2B9F73" w14:textId="77777777" w:rsidR="00A411F3" w:rsidRDefault="00A411F3" w:rsidP="00A411F3"/>
    <w:p w14:paraId="769102A6" w14:textId="77777777" w:rsidR="00A411F3" w:rsidRPr="00A411F3" w:rsidRDefault="00A411F3" w:rsidP="00A411F3"/>
    <w:p w14:paraId="341F8E85" w14:textId="3CA3B2BA" w:rsidR="00A411F3" w:rsidRDefault="002F4A05" w:rsidP="00A411F3">
      <w:r>
        <w:rPr>
          <w:noProof/>
        </w:rPr>
        <w:drawing>
          <wp:inline distT="0" distB="0" distL="0" distR="0" wp14:anchorId="6F0C625C" wp14:editId="099B7086">
            <wp:extent cx="6188710" cy="2913734"/>
            <wp:effectExtent l="0" t="0" r="2540" b="1270"/>
            <wp:docPr id="1" name="Picture 1" descr="Famous Math Quotes. Quotes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ous Math Quotes. QuotesGra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2913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1F3">
        <w:br w:type="page"/>
      </w:r>
    </w:p>
    <w:p w14:paraId="39AB53AB" w14:textId="0D8C067F" w:rsidR="00A411F3" w:rsidRDefault="00A411F3" w:rsidP="00A411F3">
      <w:pPr>
        <w:pStyle w:val="Heading1"/>
      </w:pPr>
      <w:r>
        <w:lastRenderedPageBreak/>
        <w:t>Welcome</w:t>
      </w:r>
    </w:p>
    <w:p w14:paraId="7CB5884E" w14:textId="3BF5B54F" w:rsidR="00A411F3" w:rsidRDefault="00A411F3" w:rsidP="00A411F3">
      <w:r>
        <w:t xml:space="preserve">Welcome to the Leeds Trinity PGCE </w:t>
      </w:r>
      <w:r w:rsidR="002F4A05">
        <w:t xml:space="preserve">Maths </w:t>
      </w:r>
      <w:r>
        <w:t xml:space="preserve">course. </w:t>
      </w:r>
      <w:r w:rsidR="00EC77C3">
        <w:t xml:space="preserve">We are delighted that you will be training with us as a </w:t>
      </w:r>
      <w:r w:rsidR="002F4A05">
        <w:t xml:space="preserve">maths </w:t>
      </w:r>
      <w:r w:rsidR="00EC77C3">
        <w:t xml:space="preserve">teacher from September. </w:t>
      </w:r>
      <w:r>
        <w:t xml:space="preserve">This booklet will give you everything you need to help </w:t>
      </w:r>
      <w:r w:rsidR="00EC77C3">
        <w:t>you to prepare.</w:t>
      </w:r>
      <w:r>
        <w:t xml:space="preserve"> Please make sure you read this information fully as many of the tasks will underpin the work we do in the first week.</w:t>
      </w:r>
    </w:p>
    <w:p w14:paraId="1290C47B" w14:textId="77777777" w:rsidR="00C42CBC" w:rsidRDefault="00C42CBC" w:rsidP="00C42CBC">
      <w:pPr>
        <w:pStyle w:val="Heading1"/>
      </w:pPr>
      <w:r>
        <w:t>Contact details</w:t>
      </w:r>
    </w:p>
    <w:p w14:paraId="56CE6D3C" w14:textId="77777777" w:rsidR="00C42CBC" w:rsidRDefault="00C42CBC" w:rsidP="00C42CBC">
      <w:r>
        <w:t>If you have any questions over the summer, please do not hesitate to get in touch.</w:t>
      </w:r>
    </w:p>
    <w:tbl>
      <w:tblPr>
        <w:tblStyle w:val="TableGrid"/>
        <w:tblW w:w="4293" w:type="pct"/>
        <w:tblLook w:val="04A0" w:firstRow="1" w:lastRow="0" w:firstColumn="1" w:lastColumn="0" w:noHBand="0" w:noVBand="1"/>
      </w:tblPr>
      <w:tblGrid>
        <w:gridCol w:w="2122"/>
        <w:gridCol w:w="6237"/>
      </w:tblGrid>
      <w:tr w:rsidR="00440AE6" w14:paraId="558E5425" w14:textId="77777777" w:rsidTr="00440AE6">
        <w:tc>
          <w:tcPr>
            <w:tcW w:w="1269" w:type="pct"/>
          </w:tcPr>
          <w:p w14:paraId="48418CBC" w14:textId="77777777" w:rsidR="00440AE6" w:rsidRPr="00A411F3" w:rsidRDefault="00440AE6" w:rsidP="009E5DE2">
            <w:pPr>
              <w:rPr>
                <w:b/>
              </w:rPr>
            </w:pPr>
            <w:r w:rsidRPr="00A411F3">
              <w:rPr>
                <w:b/>
              </w:rPr>
              <w:t>Tutor</w:t>
            </w:r>
          </w:p>
        </w:tc>
        <w:tc>
          <w:tcPr>
            <w:tcW w:w="3731" w:type="pct"/>
          </w:tcPr>
          <w:p w14:paraId="15C0DE64" w14:textId="77777777" w:rsidR="00440AE6" w:rsidRPr="00A411F3" w:rsidRDefault="00440AE6" w:rsidP="009E5DE2">
            <w:pPr>
              <w:rPr>
                <w:b/>
              </w:rPr>
            </w:pPr>
            <w:r w:rsidRPr="00A411F3">
              <w:rPr>
                <w:b/>
              </w:rPr>
              <w:t>Email</w:t>
            </w:r>
          </w:p>
        </w:tc>
      </w:tr>
      <w:tr w:rsidR="00440AE6" w14:paraId="742CA28B" w14:textId="77777777" w:rsidTr="00440AE6">
        <w:tc>
          <w:tcPr>
            <w:tcW w:w="1269" w:type="pct"/>
          </w:tcPr>
          <w:p w14:paraId="503EF1D2" w14:textId="76BC81EB" w:rsidR="00440AE6" w:rsidRDefault="00440AE6" w:rsidP="009E5DE2">
            <w:r>
              <w:t>Paul Rowlandson</w:t>
            </w:r>
          </w:p>
        </w:tc>
        <w:tc>
          <w:tcPr>
            <w:tcW w:w="3731" w:type="pct"/>
          </w:tcPr>
          <w:p w14:paraId="19CFF216" w14:textId="46F587F8" w:rsidR="00440AE6" w:rsidRDefault="00440AE6" w:rsidP="009E5DE2">
            <w:r>
              <w:t>p.rowlandson</w:t>
            </w:r>
            <w:r w:rsidRPr="00A411F3">
              <w:t>@leedstrinity.ac.uk</w:t>
            </w:r>
          </w:p>
        </w:tc>
      </w:tr>
    </w:tbl>
    <w:p w14:paraId="254D239A" w14:textId="21465C7A" w:rsidR="00CE6B58" w:rsidRDefault="00CE6B58" w:rsidP="00CE6B58">
      <w:pPr>
        <w:pStyle w:val="Heading1"/>
      </w:pPr>
      <w:r>
        <w:t xml:space="preserve">The aims of the Leeds Trinity </w:t>
      </w:r>
      <w:r w:rsidR="00FD0F25">
        <w:t>maths</w:t>
      </w:r>
      <w:r>
        <w:t xml:space="preserve"> PGCE</w:t>
      </w:r>
    </w:p>
    <w:p w14:paraId="42D15FA4" w14:textId="38CF4FF4" w:rsidR="00091751" w:rsidRDefault="00CE6B58" w:rsidP="00FD0F25">
      <w:r>
        <w:t xml:space="preserve">The Leeds Trinity PGCE course aims to develop excellent future </w:t>
      </w:r>
      <w:r w:rsidR="00FD0F25">
        <w:t>maths</w:t>
      </w:r>
      <w:r>
        <w:t xml:space="preserve"> teachers through a rigorous, school-centred, professional training approach. By the end of the course, </w:t>
      </w:r>
      <w:r w:rsidR="00FC1120">
        <w:t>you</w:t>
      </w:r>
      <w:r>
        <w:t xml:space="preserve"> will have developed </w:t>
      </w:r>
      <w:r w:rsidR="00FC1120">
        <w:t>your</w:t>
      </w:r>
      <w:r>
        <w:t xml:space="preserve"> own approaches to teaching which engage and excite pupils of all ages. In addition to meeting the Teacher Standards for QTS we want </w:t>
      </w:r>
      <w:r w:rsidR="00FC1120">
        <w:t>you</w:t>
      </w:r>
      <w:r>
        <w:t xml:space="preserve"> to be engaged in becoming outstanding teachers of </w:t>
      </w:r>
      <w:r w:rsidR="00BD36A7">
        <w:t xml:space="preserve">Mathematics! </w:t>
      </w:r>
      <w:r>
        <w:t xml:space="preserve"> </w:t>
      </w:r>
    </w:p>
    <w:p w14:paraId="1083572F" w14:textId="4E1F5EAA" w:rsidR="00ED6C5F" w:rsidRDefault="00ED6C5F" w:rsidP="00FD0F25">
      <w:pPr>
        <w:pStyle w:val="Title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2BD8717" wp14:editId="64ACFD3F">
            <wp:simplePos x="0" y="0"/>
            <wp:positionH relativeFrom="margin">
              <wp:posOffset>4681728</wp:posOffset>
            </wp:positionH>
            <wp:positionV relativeFrom="paragraph">
              <wp:posOffset>11125</wp:posOffset>
            </wp:positionV>
            <wp:extent cx="1862455" cy="1894205"/>
            <wp:effectExtent l="0" t="0" r="4445" b="0"/>
            <wp:wrapTight wrapText="bothSides">
              <wp:wrapPolygon edited="0">
                <wp:start x="0" y="0"/>
                <wp:lineTo x="0" y="21289"/>
                <wp:lineTo x="21431" y="21289"/>
                <wp:lineTo x="21431" y="0"/>
                <wp:lineTo x="0" y="0"/>
              </wp:wrapPolygon>
            </wp:wrapTight>
            <wp:docPr id="2" name="Picture 2" descr="http://www.podiohelp.com/wp-content/uploads/2012/08/Podio-tasks-and-messages-e1346243525564-296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iohelp.com/wp-content/uploads/2012/08/Podio-tasks-and-messages-e1346243525564-296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B58">
        <w:t>Summer Tasks</w:t>
      </w:r>
    </w:p>
    <w:p w14:paraId="5C0CD867" w14:textId="3F82CC78" w:rsidR="00D86B1C" w:rsidRDefault="00D86B1C" w:rsidP="00D86B1C">
      <w:pPr>
        <w:pStyle w:val="Heading1"/>
      </w:pPr>
      <w:r>
        <w:t xml:space="preserve">Task </w:t>
      </w:r>
      <w:r w:rsidR="00FD0F25">
        <w:t>1</w:t>
      </w:r>
      <w:r>
        <w:t xml:space="preserve">: </w:t>
      </w:r>
      <w:r w:rsidR="00DD40C6">
        <w:t>Developing</w:t>
      </w:r>
      <w:r>
        <w:t xml:space="preserve"> Subject Knowledge</w:t>
      </w:r>
    </w:p>
    <w:p w14:paraId="17EAF183" w14:textId="77777777" w:rsidR="00D63415" w:rsidRPr="00D63415" w:rsidRDefault="00D63415" w:rsidP="00D63415"/>
    <w:p w14:paraId="1AA633BD" w14:textId="435A00AD" w:rsidR="00D86B1C" w:rsidRDefault="00B04834" w:rsidP="00D86B1C">
      <w:r>
        <w:t xml:space="preserve">The </w:t>
      </w:r>
      <w:r w:rsidR="00D86B1C">
        <w:t>subject knowledge audit</w:t>
      </w:r>
      <w:r>
        <w:t xml:space="preserve"> you completed for your interview </w:t>
      </w:r>
      <w:r w:rsidR="00DD40C6">
        <w:t xml:space="preserve">asked you to rate your knowledge of a </w:t>
      </w:r>
      <w:r w:rsidR="00D86B1C">
        <w:t>whole range of content. Having excellent subject knowledge is crucial to be</w:t>
      </w:r>
      <w:r w:rsidR="009F08B2">
        <w:t xml:space="preserve">ing </w:t>
      </w:r>
      <w:r w:rsidR="00D86B1C">
        <w:t>a g</w:t>
      </w:r>
      <w:r w:rsidR="00FD0F25">
        <w:t xml:space="preserve">ood Maths </w:t>
      </w:r>
      <w:r w:rsidR="00D86B1C">
        <w:t xml:space="preserve">teacher, especially in motivating pupils to care about the topics they are studying. </w:t>
      </w:r>
      <w:r w:rsidR="00050EBA">
        <w:t>It is also important that you have a broad overview of all the Key Stage 3 and Key Stage 4 topic areas before you begin teaching.</w:t>
      </w:r>
    </w:p>
    <w:p w14:paraId="1383BB46" w14:textId="71F660F4" w:rsidR="00B04834" w:rsidRPr="00EA7541" w:rsidRDefault="006307B4" w:rsidP="00B04834">
      <w:r>
        <w:t xml:space="preserve">As maths teachers, it is important that we reflect on our subject knowledge regularly and </w:t>
      </w:r>
      <w:r w:rsidR="006B70EB">
        <w:t>plan how best to continue improving</w:t>
      </w:r>
      <w:r w:rsidR="00533582">
        <w:t xml:space="preserve"> it over time. </w:t>
      </w:r>
      <w:r w:rsidR="00CD7809">
        <w:t xml:space="preserve">Therefore, </w:t>
      </w:r>
      <w:r w:rsidR="002A52F9">
        <w:t xml:space="preserve">subject knowledge audits will be used to </w:t>
      </w:r>
      <w:r w:rsidR="000175FC">
        <w:t xml:space="preserve">tailor </w:t>
      </w:r>
      <w:r w:rsidR="002A52F9">
        <w:t>aspects of the Maths PGCE and in-school support for</w:t>
      </w:r>
      <w:r w:rsidR="00050EBA">
        <w:t xml:space="preserve"> the cohort of trainees. </w:t>
      </w:r>
      <w:r w:rsidR="00A70641" w:rsidRPr="00EA7541">
        <w:rPr>
          <w:b/>
          <w:bCs/>
        </w:rPr>
        <w:t xml:space="preserve">Before starting the course in September, please fill out </w:t>
      </w:r>
      <w:r w:rsidR="00695172" w:rsidRPr="00EA7541">
        <w:rPr>
          <w:b/>
          <w:bCs/>
        </w:rPr>
        <w:t>the subject knowledge audit again</w:t>
      </w:r>
      <w:r w:rsidR="00EA7541" w:rsidRPr="00EA7541">
        <w:rPr>
          <w:b/>
          <w:bCs/>
        </w:rPr>
        <w:t xml:space="preserve"> using the colour indicated </w:t>
      </w:r>
      <w:r w:rsidR="00EA7541">
        <w:rPr>
          <w:b/>
          <w:bCs/>
        </w:rPr>
        <w:t>i</w:t>
      </w:r>
      <w:r w:rsidR="00EA7541" w:rsidRPr="00EA7541">
        <w:rPr>
          <w:b/>
          <w:bCs/>
        </w:rPr>
        <w:t>n the ‘pre-course’ box.</w:t>
      </w:r>
      <w:r w:rsidR="00EA7541">
        <w:rPr>
          <w:b/>
          <w:bCs/>
        </w:rPr>
        <w:t xml:space="preserve"> </w:t>
      </w:r>
    </w:p>
    <w:p w14:paraId="74141099" w14:textId="054237F1" w:rsidR="00036890" w:rsidRDefault="00036890" w:rsidP="00036890">
      <w:r>
        <w:t xml:space="preserve">There are many useful resources that you can </w:t>
      </w:r>
      <w:r w:rsidR="002706CC">
        <w:t>access for free to help further develop your knowledge of the subject</w:t>
      </w:r>
      <w:r w:rsidR="00FE6CED">
        <w:t xml:space="preserve">, </w:t>
      </w:r>
      <w:r w:rsidR="002706CC">
        <w:t>knowledge of the mathematics curriculum</w:t>
      </w:r>
      <w:r w:rsidR="00FE6CED">
        <w:t xml:space="preserve"> and knowledge of GCSE assessments</w:t>
      </w:r>
      <w:r w:rsidR="002706CC">
        <w:t>.</w:t>
      </w:r>
      <w:r w:rsidR="00C16D9A">
        <w:t xml:space="preserve"> The following </w:t>
      </w:r>
      <w:r w:rsidR="00864FC6">
        <w:t>would be highly recommended:</w:t>
      </w:r>
    </w:p>
    <w:p w14:paraId="1F5A5BA9" w14:textId="253AC6C0" w:rsidR="005D3440" w:rsidRDefault="001F3785" w:rsidP="00B04834">
      <w:pPr>
        <w:pStyle w:val="ListParagraph"/>
        <w:numPr>
          <w:ilvl w:val="0"/>
          <w:numId w:val="22"/>
        </w:numPr>
      </w:pPr>
      <w:r>
        <w:t>National</w:t>
      </w:r>
      <w:r w:rsidR="00DD008E">
        <w:t xml:space="preserve"> information documents about the mathematics curriculum:</w:t>
      </w:r>
    </w:p>
    <w:p w14:paraId="1134C750" w14:textId="5D5B715B" w:rsidR="001F3785" w:rsidRPr="0099026B" w:rsidRDefault="0099026B" w:rsidP="001F3785">
      <w:pPr>
        <w:pStyle w:val="ListParagraph"/>
        <w:numPr>
          <w:ilvl w:val="1"/>
          <w:numId w:val="18"/>
        </w:numPr>
        <w:spacing w:after="200" w:line="288" w:lineRule="auto"/>
        <w:rPr>
          <w:rStyle w:val="Hyperlink"/>
          <w:rFonts w:eastAsia="Times New Roman"/>
          <w:lang w:eastAsia="en-GB"/>
        </w:rPr>
      </w:pPr>
      <w:r>
        <w:rPr>
          <w:rFonts w:eastAsia="Times New Roman"/>
          <w:lang w:eastAsia="en-GB"/>
        </w:rPr>
        <w:fldChar w:fldCharType="begin"/>
      </w:r>
      <w:r>
        <w:rPr>
          <w:rFonts w:eastAsia="Times New Roman"/>
          <w:lang w:eastAsia="en-GB"/>
        </w:rPr>
        <w:instrText>HYPERLINK "https://www.gov.uk/government/publications/national-curriculum-in-england-mathematics-programmes-of-study"</w:instrText>
      </w:r>
      <w:r>
        <w:rPr>
          <w:rFonts w:eastAsia="Times New Roman"/>
          <w:lang w:eastAsia="en-GB"/>
        </w:rPr>
      </w:r>
      <w:r>
        <w:rPr>
          <w:rFonts w:eastAsia="Times New Roman"/>
          <w:lang w:eastAsia="en-GB"/>
        </w:rPr>
        <w:fldChar w:fldCharType="separate"/>
      </w:r>
      <w:r w:rsidR="001F3785" w:rsidRPr="0099026B">
        <w:rPr>
          <w:rStyle w:val="Hyperlink"/>
          <w:rFonts w:eastAsia="Times New Roman"/>
          <w:lang w:eastAsia="en-GB"/>
        </w:rPr>
        <w:t>National Curriculum for Mat</w:t>
      </w:r>
      <w:r w:rsidR="001F3785" w:rsidRPr="0099026B">
        <w:rPr>
          <w:rStyle w:val="Hyperlink"/>
          <w:rFonts w:eastAsia="Times New Roman"/>
          <w:lang w:eastAsia="en-GB"/>
        </w:rPr>
        <w:t>h</w:t>
      </w:r>
      <w:r w:rsidR="001F3785" w:rsidRPr="0099026B">
        <w:rPr>
          <w:rStyle w:val="Hyperlink"/>
          <w:rFonts w:eastAsia="Times New Roman"/>
          <w:lang w:eastAsia="en-GB"/>
        </w:rPr>
        <w:t>s</w:t>
      </w:r>
      <w:r w:rsidR="00B36109" w:rsidRPr="0099026B">
        <w:rPr>
          <w:rStyle w:val="Hyperlink"/>
          <w:rFonts w:eastAsia="Times New Roman"/>
          <w:lang w:eastAsia="en-GB"/>
        </w:rPr>
        <w:t xml:space="preserve"> for all Key Stages</w:t>
      </w:r>
    </w:p>
    <w:p w14:paraId="2FA55351" w14:textId="21BE3B5C" w:rsidR="000D4317" w:rsidRDefault="0099026B" w:rsidP="001F3785">
      <w:pPr>
        <w:pStyle w:val="ListParagraph"/>
        <w:numPr>
          <w:ilvl w:val="1"/>
          <w:numId w:val="18"/>
        </w:numPr>
        <w:spacing w:after="200" w:line="288" w:lineRule="auto"/>
        <w:rPr>
          <w:rFonts w:eastAsia="Times New Roman"/>
          <w:color w:val="0563C1"/>
          <w:u w:val="single"/>
          <w:lang w:eastAsia="en-GB"/>
        </w:rPr>
      </w:pPr>
      <w:r>
        <w:rPr>
          <w:rFonts w:eastAsia="Times New Roman"/>
          <w:lang w:eastAsia="en-GB"/>
        </w:rPr>
        <w:fldChar w:fldCharType="end"/>
      </w:r>
      <w:hyperlink r:id="rId12" w:history="1">
        <w:r w:rsidR="000D4317" w:rsidRPr="0099026B">
          <w:rPr>
            <w:rStyle w:val="Hyperlink"/>
            <w:rFonts w:eastAsia="Times New Roman"/>
            <w:lang w:eastAsia="en-GB"/>
          </w:rPr>
          <w:t>Mathematics Guidance for Teaching Key Stage 3</w:t>
        </w:r>
      </w:hyperlink>
    </w:p>
    <w:p w14:paraId="425C4C34" w14:textId="14C6543C" w:rsidR="00425431" w:rsidRPr="001F3785" w:rsidRDefault="00225AC6" w:rsidP="001F3785">
      <w:pPr>
        <w:pStyle w:val="ListParagraph"/>
        <w:numPr>
          <w:ilvl w:val="1"/>
          <w:numId w:val="18"/>
        </w:numPr>
        <w:spacing w:after="200" w:line="288" w:lineRule="auto"/>
        <w:rPr>
          <w:rFonts w:eastAsia="Times New Roman"/>
          <w:color w:val="0563C1"/>
          <w:u w:val="single"/>
          <w:lang w:eastAsia="en-GB"/>
        </w:rPr>
      </w:pPr>
      <w:hyperlink r:id="rId13" w:history="1">
        <w:r w:rsidR="005D3440" w:rsidRPr="00225AC6">
          <w:rPr>
            <w:rStyle w:val="Hyperlink"/>
            <w:rFonts w:eastAsia="Times New Roman"/>
            <w:lang w:eastAsia="en-GB"/>
          </w:rPr>
          <w:t>GCSE Subj</w:t>
        </w:r>
        <w:r w:rsidR="005D3440" w:rsidRPr="00225AC6">
          <w:rPr>
            <w:rStyle w:val="Hyperlink"/>
            <w:rFonts w:eastAsia="Times New Roman"/>
            <w:lang w:eastAsia="en-GB"/>
          </w:rPr>
          <w:t>e</w:t>
        </w:r>
        <w:r w:rsidR="005D3440" w:rsidRPr="00225AC6">
          <w:rPr>
            <w:rStyle w:val="Hyperlink"/>
            <w:rFonts w:eastAsia="Times New Roman"/>
            <w:lang w:eastAsia="en-GB"/>
          </w:rPr>
          <w:t>ct Content</w:t>
        </w:r>
        <w:r w:rsidR="009F08B2" w:rsidRPr="00225AC6">
          <w:rPr>
            <w:rStyle w:val="Hyperlink"/>
            <w:rFonts w:eastAsia="Times New Roman"/>
            <w:lang w:eastAsia="en-GB"/>
          </w:rPr>
          <w:t xml:space="preserve"> for Maths</w:t>
        </w:r>
      </w:hyperlink>
    </w:p>
    <w:p w14:paraId="2FF6D8DF" w14:textId="77777777" w:rsidR="00D82A01" w:rsidRDefault="00D82A01" w:rsidP="00D82A01">
      <w:pPr>
        <w:pStyle w:val="ListParagraph"/>
      </w:pPr>
    </w:p>
    <w:p w14:paraId="650CC1A1" w14:textId="0B2F4857" w:rsidR="00B04834" w:rsidRDefault="007F497D" w:rsidP="00CC1CCF">
      <w:pPr>
        <w:pStyle w:val="ListParagraph"/>
        <w:numPr>
          <w:ilvl w:val="0"/>
          <w:numId w:val="18"/>
        </w:numPr>
      </w:pPr>
      <w:r>
        <w:t xml:space="preserve">Past exam papers </w:t>
      </w:r>
      <w:r w:rsidR="00B04834">
        <w:t>–</w:t>
      </w:r>
      <w:r w:rsidR="00CC1CCF">
        <w:t xml:space="preserve"> downloading</w:t>
      </w:r>
      <w:r w:rsidR="00B04834">
        <w:t xml:space="preserve"> and completing</w:t>
      </w:r>
      <w:r w:rsidR="00CC1CCF">
        <w:t xml:space="preserve"> past Maths GCSE and A</w:t>
      </w:r>
      <w:r w:rsidR="00505792">
        <w:t>-</w:t>
      </w:r>
      <w:r w:rsidR="00CC1CCF">
        <w:t xml:space="preserve">level papers, mark schemes and examiners reports will really help you address any weaknesses in subject content. The </w:t>
      </w:r>
      <w:proofErr w:type="gramStart"/>
      <w:r w:rsidR="00CC1CCF">
        <w:t>most commonly used</w:t>
      </w:r>
      <w:proofErr w:type="gramEnd"/>
      <w:r w:rsidR="00CC1CCF">
        <w:t xml:space="preserve"> exam boards are:</w:t>
      </w:r>
      <w:r w:rsidR="00B04834">
        <w:t xml:space="preserve"> </w:t>
      </w:r>
      <w:r w:rsidR="00CC1CCF">
        <w:t xml:space="preserve"> </w:t>
      </w:r>
      <w:hyperlink r:id="rId14" w:history="1">
        <w:r w:rsidR="00B04834" w:rsidRPr="008035D6">
          <w:rPr>
            <w:rStyle w:val="Hyperlink"/>
          </w:rPr>
          <w:t>www.edexcel.com</w:t>
        </w:r>
      </w:hyperlink>
      <w:r w:rsidR="00B04834">
        <w:t xml:space="preserve"> and </w:t>
      </w:r>
      <w:hyperlink r:id="rId15" w:history="1">
        <w:r w:rsidR="00B04834" w:rsidRPr="008035D6">
          <w:rPr>
            <w:rStyle w:val="Hyperlink"/>
          </w:rPr>
          <w:t>www.aqa.org.uk</w:t>
        </w:r>
      </w:hyperlink>
      <w:r w:rsidR="00B04834">
        <w:t xml:space="preserve"> .</w:t>
      </w:r>
    </w:p>
    <w:p w14:paraId="1E31DCFF" w14:textId="77777777" w:rsidR="00D63415" w:rsidRDefault="00D63415" w:rsidP="00D63415">
      <w:pPr>
        <w:pStyle w:val="ListParagraph"/>
      </w:pPr>
    </w:p>
    <w:p w14:paraId="53638935" w14:textId="2C5C5530" w:rsidR="00D0271C" w:rsidRPr="00D0271C" w:rsidRDefault="00B04834" w:rsidP="00CC1CCF">
      <w:pPr>
        <w:pStyle w:val="ListParagraph"/>
        <w:numPr>
          <w:ilvl w:val="0"/>
          <w:numId w:val="18"/>
        </w:numPr>
      </w:pPr>
      <w:r w:rsidRPr="00B04834">
        <w:rPr>
          <w:rFonts w:cs="Arial"/>
          <w:color w:val="222222"/>
          <w:shd w:val="clear" w:color="auto" w:fill="FFFFFF"/>
        </w:rPr>
        <w:t xml:space="preserve">Use </w:t>
      </w:r>
      <w:hyperlink r:id="rId16" w:history="1">
        <w:r w:rsidR="00906E68" w:rsidRPr="00794D13">
          <w:rPr>
            <w:rStyle w:val="Hyperlink"/>
            <w:rFonts w:cs="Arial"/>
            <w:shd w:val="clear" w:color="auto" w:fill="FFFFFF"/>
          </w:rPr>
          <w:t>Oak National Academy</w:t>
        </w:r>
      </w:hyperlink>
      <w:r w:rsidR="00906E68">
        <w:rPr>
          <w:rFonts w:cs="Arial"/>
          <w:color w:val="222222"/>
          <w:shd w:val="clear" w:color="auto" w:fill="FFFFFF"/>
        </w:rPr>
        <w:t xml:space="preserve"> to view online resources for teachers and pupils.</w:t>
      </w:r>
      <w:r w:rsidR="00096B59">
        <w:rPr>
          <w:rFonts w:cs="Arial"/>
          <w:color w:val="222222"/>
          <w:shd w:val="clear" w:color="auto" w:fill="FFFFFF"/>
        </w:rPr>
        <w:t xml:space="preserve"> The website contains </w:t>
      </w:r>
      <w:r w:rsidR="00AA490B">
        <w:rPr>
          <w:rFonts w:cs="Arial"/>
          <w:color w:val="222222"/>
          <w:shd w:val="clear" w:color="auto" w:fill="FFFFFF"/>
        </w:rPr>
        <w:t>a full year</w:t>
      </w:r>
      <w:r w:rsidR="00A71285">
        <w:rPr>
          <w:rFonts w:cs="Arial"/>
          <w:color w:val="222222"/>
          <w:shd w:val="clear" w:color="auto" w:fill="FFFFFF"/>
        </w:rPr>
        <w:t>’s worth</w:t>
      </w:r>
      <w:r w:rsidR="00AA490B">
        <w:rPr>
          <w:rFonts w:cs="Arial"/>
          <w:color w:val="222222"/>
          <w:shd w:val="clear" w:color="auto" w:fill="FFFFFF"/>
        </w:rPr>
        <w:t xml:space="preserve"> of lesson for </w:t>
      </w:r>
      <w:r w:rsidR="00A71285">
        <w:rPr>
          <w:rFonts w:cs="Arial"/>
          <w:color w:val="222222"/>
          <w:shd w:val="clear" w:color="auto" w:fill="FFFFFF"/>
        </w:rPr>
        <w:t>each year group. E</w:t>
      </w:r>
      <w:r w:rsidR="003C5514">
        <w:rPr>
          <w:rFonts w:cs="Arial"/>
          <w:color w:val="222222"/>
          <w:shd w:val="clear" w:color="auto" w:fill="FFFFFF"/>
        </w:rPr>
        <w:t xml:space="preserve">very </w:t>
      </w:r>
      <w:r w:rsidR="00A71285">
        <w:rPr>
          <w:rFonts w:cs="Arial"/>
          <w:color w:val="222222"/>
          <w:shd w:val="clear" w:color="auto" w:fill="FFFFFF"/>
        </w:rPr>
        <w:t xml:space="preserve">lesson contains </w:t>
      </w:r>
      <w:r w:rsidR="00B71E8C">
        <w:rPr>
          <w:rFonts w:cs="Arial"/>
          <w:color w:val="222222"/>
          <w:shd w:val="clear" w:color="auto" w:fill="FFFFFF"/>
        </w:rPr>
        <w:t xml:space="preserve">resources for teachers and a video that are designed to be used </w:t>
      </w:r>
      <w:r w:rsidR="00D82A01">
        <w:rPr>
          <w:rFonts w:cs="Arial"/>
          <w:color w:val="222222"/>
          <w:shd w:val="clear" w:color="auto" w:fill="FFFFFF"/>
        </w:rPr>
        <w:t>for home learning or when a teacher is absent.</w:t>
      </w:r>
      <w:r w:rsidR="00AF6E04">
        <w:rPr>
          <w:rFonts w:cs="Arial"/>
          <w:color w:val="222222"/>
          <w:shd w:val="clear" w:color="auto" w:fill="FFFFFF"/>
        </w:rPr>
        <w:t xml:space="preserve"> This could be a useful website for revising any topics that you feel would benefit from a refresher.</w:t>
      </w:r>
    </w:p>
    <w:p w14:paraId="05789C4F" w14:textId="101662E5" w:rsidR="00D0271C" w:rsidRDefault="00D0271C" w:rsidP="00D0271C">
      <w:pPr>
        <w:rPr>
          <w:rFonts w:cs="Arial"/>
          <w:color w:val="222222"/>
          <w:shd w:val="clear" w:color="auto" w:fill="FFFFFF"/>
        </w:rPr>
      </w:pPr>
    </w:p>
    <w:p w14:paraId="589384AE" w14:textId="7174D09B" w:rsidR="00D0271C" w:rsidRDefault="00D0271C" w:rsidP="00D0271C">
      <w:pPr>
        <w:pStyle w:val="Heading1"/>
      </w:pPr>
      <w:r w:rsidRPr="00D0271C">
        <w:rPr>
          <w:rFonts w:cs="Arial"/>
          <w:color w:val="222222"/>
          <w:shd w:val="clear" w:color="auto" w:fill="FFFFFF"/>
        </w:rPr>
        <w:lastRenderedPageBreak/>
        <w:t xml:space="preserve"> </w:t>
      </w:r>
      <w:r w:rsidR="00B04834" w:rsidRPr="00D0271C">
        <w:rPr>
          <w:rFonts w:cs="Arial"/>
          <w:color w:val="222222"/>
          <w:shd w:val="clear" w:color="auto" w:fill="FFFFFF"/>
        </w:rPr>
        <w:t> </w:t>
      </w:r>
      <w:r w:rsidR="00CC1CCF" w:rsidRPr="00B04834">
        <w:t xml:space="preserve"> </w:t>
      </w:r>
      <w:r>
        <w:t xml:space="preserve">Task 2: Exploring websites and resources </w:t>
      </w:r>
    </w:p>
    <w:p w14:paraId="2973CD5C" w14:textId="77777777" w:rsidR="00223556" w:rsidRPr="00223556" w:rsidRDefault="00223556" w:rsidP="00223556"/>
    <w:p w14:paraId="04F873E5" w14:textId="78EE5121" w:rsidR="00D100F3" w:rsidRDefault="00933AD1" w:rsidP="00ED5FBC">
      <w:pPr>
        <w:pStyle w:val="ListParagraph"/>
        <w:numPr>
          <w:ilvl w:val="0"/>
          <w:numId w:val="22"/>
        </w:numPr>
      </w:pPr>
      <w:r>
        <w:t xml:space="preserve">You will find it helpful to </w:t>
      </w:r>
      <w:r w:rsidR="004F3BA7">
        <w:t>have access to a scientific calculator</w:t>
      </w:r>
      <w:r w:rsidR="00B643CC">
        <w:t xml:space="preserve"> during your school placement and subject-based university sessions</w:t>
      </w:r>
      <w:r w:rsidR="004F3BA7">
        <w:t xml:space="preserve">. </w:t>
      </w:r>
      <w:r w:rsidR="00E91F43">
        <w:t>Casio calculators are most the</w:t>
      </w:r>
      <w:r w:rsidR="00D01345">
        <w:t xml:space="preserve"> widely used in schools and GCSE exams</w:t>
      </w:r>
      <w:r w:rsidR="00E91F43">
        <w:t>. The</w:t>
      </w:r>
      <w:r w:rsidR="00E22FFA">
        <w:t xml:space="preserve"> latest model </w:t>
      </w:r>
      <w:r w:rsidR="002E3FBA">
        <w:t xml:space="preserve">that is becoming standard </w:t>
      </w:r>
      <w:r w:rsidR="00E22FFA">
        <w:t>for</w:t>
      </w:r>
      <w:r w:rsidR="004F3BA7">
        <w:t xml:space="preserve"> schools</w:t>
      </w:r>
      <w:r w:rsidR="008054B4">
        <w:t xml:space="preserve"> is the </w:t>
      </w:r>
      <w:r w:rsidR="008054B4" w:rsidRPr="00C73C69">
        <w:rPr>
          <w:b/>
          <w:bCs/>
        </w:rPr>
        <w:t xml:space="preserve">Casio fx-83GT </w:t>
      </w:r>
      <w:proofErr w:type="spellStart"/>
      <w:r w:rsidR="008054B4" w:rsidRPr="00C73C69">
        <w:rPr>
          <w:b/>
          <w:bCs/>
        </w:rPr>
        <w:t>Classwiz</w:t>
      </w:r>
      <w:proofErr w:type="spellEnd"/>
      <w:r w:rsidR="008054B4" w:rsidRPr="00C73C69">
        <w:rPr>
          <w:b/>
          <w:bCs/>
        </w:rPr>
        <w:t>.</w:t>
      </w:r>
      <w:r w:rsidR="00E9608A">
        <w:t xml:space="preserve"> </w:t>
      </w:r>
    </w:p>
    <w:p w14:paraId="44CB59E1" w14:textId="77777777" w:rsidR="008054B4" w:rsidRDefault="008054B4" w:rsidP="008054B4">
      <w:pPr>
        <w:pStyle w:val="ListParagraph"/>
      </w:pPr>
    </w:p>
    <w:p w14:paraId="659B40EB" w14:textId="23AED39A" w:rsidR="00D63415" w:rsidRDefault="00D63415" w:rsidP="00ED5FBC">
      <w:pPr>
        <w:pStyle w:val="ListParagraph"/>
        <w:numPr>
          <w:ilvl w:val="0"/>
          <w:numId w:val="22"/>
        </w:numPr>
      </w:pPr>
      <w:r>
        <w:t xml:space="preserve">Register (for free) with the National Centre for Excellence in the Teaching of Mathematics </w:t>
      </w:r>
      <w:hyperlink r:id="rId17" w:history="1">
        <w:r w:rsidR="005F7747" w:rsidRPr="008035D6">
          <w:rPr>
            <w:rStyle w:val="Hyperlink"/>
          </w:rPr>
          <w:t>www.ncetm.org.uk</w:t>
        </w:r>
      </w:hyperlink>
      <w:r w:rsidR="005F7747">
        <w:t xml:space="preserve">  - </w:t>
      </w:r>
      <w:r>
        <w:t>who</w:t>
      </w:r>
      <w:r w:rsidR="005F7747">
        <w:t xml:space="preserve">se </w:t>
      </w:r>
      <w:r>
        <w:t>aim is to improve mathematics teaching and share best practise and pedagogy.</w:t>
      </w:r>
      <w:r w:rsidR="00F33945">
        <w:t xml:space="preserve"> </w:t>
      </w:r>
    </w:p>
    <w:p w14:paraId="1C66EC2D" w14:textId="77777777" w:rsidR="00D63415" w:rsidRDefault="00D63415" w:rsidP="00D63415">
      <w:pPr>
        <w:pStyle w:val="ListParagraph"/>
      </w:pPr>
    </w:p>
    <w:p w14:paraId="712D8CEF" w14:textId="18CE09B1" w:rsidR="005F7747" w:rsidRDefault="00D63415" w:rsidP="00D63415">
      <w:pPr>
        <w:pStyle w:val="ListParagraph"/>
        <w:numPr>
          <w:ilvl w:val="0"/>
          <w:numId w:val="22"/>
        </w:numPr>
      </w:pPr>
      <w:r>
        <w:t xml:space="preserve">Register (for free) </w:t>
      </w:r>
      <w:r w:rsidR="005F7747">
        <w:t xml:space="preserve">with the National Science Technology Engineering and Mathematics centre </w:t>
      </w:r>
      <w:hyperlink r:id="rId18" w:history="1">
        <w:r w:rsidR="005F7747" w:rsidRPr="008035D6">
          <w:rPr>
            <w:rStyle w:val="Hyperlink"/>
          </w:rPr>
          <w:t>www.stem.org.uk</w:t>
        </w:r>
      </w:hyperlink>
      <w:r w:rsidR="005F7747">
        <w:t xml:space="preserve">. This site contains a host of amazing maths resources for the secondary classroom. </w:t>
      </w:r>
    </w:p>
    <w:p w14:paraId="1B07CA69" w14:textId="77777777" w:rsidR="004505BF" w:rsidRDefault="004505BF" w:rsidP="004505BF">
      <w:pPr>
        <w:pStyle w:val="ListParagraph"/>
      </w:pPr>
    </w:p>
    <w:p w14:paraId="190DF91E" w14:textId="4A23746F" w:rsidR="00B60023" w:rsidRDefault="004505BF" w:rsidP="00D63415">
      <w:pPr>
        <w:pStyle w:val="ListParagraph"/>
        <w:numPr>
          <w:ilvl w:val="0"/>
          <w:numId w:val="22"/>
        </w:numPr>
      </w:pPr>
      <w:r>
        <w:t>There are three Maths Associations, one of the</w:t>
      </w:r>
      <w:r w:rsidR="00223556">
        <w:t>m</w:t>
      </w:r>
      <w:r>
        <w:t xml:space="preserve"> (if not all of them) will have membership offers for trainees:</w:t>
      </w:r>
      <w:r w:rsidR="006E414B">
        <w:t xml:space="preserve"> </w:t>
      </w:r>
      <w:r w:rsidR="00B60023">
        <w:t>(</w:t>
      </w:r>
      <w:r w:rsidR="00384F13">
        <w:t>1</w:t>
      </w:r>
      <w:r w:rsidR="00B60023">
        <w:t xml:space="preserve">) Association of teachers of Mathematics </w:t>
      </w:r>
      <w:hyperlink r:id="rId19" w:history="1">
        <w:r w:rsidR="00B60023" w:rsidRPr="008035D6">
          <w:rPr>
            <w:rStyle w:val="Hyperlink"/>
          </w:rPr>
          <w:t>www.atm.org.uk</w:t>
        </w:r>
      </w:hyperlink>
      <w:r w:rsidR="00B60023">
        <w:t xml:space="preserve">  (</w:t>
      </w:r>
      <w:r w:rsidR="00384F13">
        <w:t>2</w:t>
      </w:r>
      <w:r w:rsidR="00B60023">
        <w:t xml:space="preserve">) The Mathematical Association </w:t>
      </w:r>
      <w:hyperlink r:id="rId20" w:history="1">
        <w:r w:rsidR="00B60023" w:rsidRPr="008035D6">
          <w:rPr>
            <w:rStyle w:val="Hyperlink"/>
          </w:rPr>
          <w:t>www.m-a.org.uk</w:t>
        </w:r>
      </w:hyperlink>
      <w:r w:rsidR="00B60023">
        <w:t xml:space="preserve"> </w:t>
      </w:r>
      <w:r w:rsidR="00384F13">
        <w:t>(</w:t>
      </w:r>
      <w:r w:rsidR="00384F13">
        <w:t>3</w:t>
      </w:r>
      <w:r w:rsidR="00384F13">
        <w:t xml:space="preserve">) Institute of Maths and its Applications </w:t>
      </w:r>
      <w:hyperlink r:id="rId21" w:history="1">
        <w:r w:rsidR="00BC18B8" w:rsidRPr="00BC18B8">
          <w:rPr>
            <w:rStyle w:val="Hyperlink"/>
          </w:rPr>
          <w:t>https://ima.org.uk</w:t>
        </w:r>
      </w:hyperlink>
      <w:r w:rsidR="005A5720" w:rsidRPr="009B4A3B">
        <w:rPr>
          <w:rStyle w:val="Hyperlink"/>
          <w:color w:val="000000" w:themeColor="text1"/>
          <w:u w:val="none"/>
        </w:rPr>
        <w:t>. Each one has its only professional</w:t>
      </w:r>
      <w:r w:rsidR="009B4A3B" w:rsidRPr="009B4A3B">
        <w:rPr>
          <w:rStyle w:val="Hyperlink"/>
          <w:color w:val="000000" w:themeColor="text1"/>
          <w:u w:val="none"/>
        </w:rPr>
        <w:t xml:space="preserve"> journal which provide thought provoking articles for maths teachers and could also be useful for your university studies.</w:t>
      </w:r>
    </w:p>
    <w:p w14:paraId="1539D9C2" w14:textId="77777777" w:rsidR="00223556" w:rsidRDefault="00223556" w:rsidP="00223556">
      <w:pPr>
        <w:pStyle w:val="ListParagraph"/>
      </w:pPr>
    </w:p>
    <w:p w14:paraId="6374DC71" w14:textId="4553C6F3" w:rsidR="00223556" w:rsidRDefault="00223556" w:rsidP="00223556">
      <w:pPr>
        <w:pStyle w:val="ListParagraph"/>
        <w:numPr>
          <w:ilvl w:val="0"/>
          <w:numId w:val="22"/>
        </w:numPr>
      </w:pPr>
      <w:r>
        <w:t xml:space="preserve">You </w:t>
      </w:r>
      <w:r w:rsidR="005F66F5">
        <w:t>can</w:t>
      </w:r>
      <w:r>
        <w:t xml:space="preserve"> also sign up to join the Chartered College of Teaching: </w:t>
      </w:r>
      <w:hyperlink r:id="rId22" w:history="1">
        <w:r w:rsidRPr="00B8797F">
          <w:rPr>
            <w:rStyle w:val="Hyperlink"/>
          </w:rPr>
          <w:t>www.chartered.college</w:t>
        </w:r>
      </w:hyperlink>
      <w:r w:rsidR="00871634">
        <w:t>, which is free for students.</w:t>
      </w:r>
      <w:r>
        <w:t xml:space="preserve"> </w:t>
      </w:r>
    </w:p>
    <w:p w14:paraId="6FD53F9E" w14:textId="77777777" w:rsidR="005915D8" w:rsidRDefault="005915D8" w:rsidP="00B60023">
      <w:pPr>
        <w:pStyle w:val="ListParagraph"/>
      </w:pPr>
    </w:p>
    <w:p w14:paraId="1219F347" w14:textId="77777777" w:rsidR="00223556" w:rsidRDefault="00223556" w:rsidP="00223556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020CE6EE" wp14:editId="4403EA83">
            <wp:simplePos x="0" y="0"/>
            <wp:positionH relativeFrom="margin">
              <wp:align>left</wp:align>
            </wp:positionH>
            <wp:positionV relativeFrom="paragraph">
              <wp:posOffset>163773</wp:posOffset>
            </wp:positionV>
            <wp:extent cx="720000" cy="760603"/>
            <wp:effectExtent l="0" t="0" r="4445" b="1905"/>
            <wp:wrapTight wrapText="bothSides">
              <wp:wrapPolygon edited="0">
                <wp:start x="0" y="0"/>
                <wp:lineTo x="0" y="21113"/>
                <wp:lineTo x="21162" y="21113"/>
                <wp:lineTo x="21162" y="0"/>
                <wp:lineTo x="0" y="0"/>
              </wp:wrapPolygon>
            </wp:wrapTight>
            <wp:docPr id="4" name="Picture 4" descr="http://www.fau.edu/esuccess/images/internet-explor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au.edu/esuccess/images/internet-explorer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6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Great websites</w:t>
      </w:r>
    </w:p>
    <w:p w14:paraId="08969DBF" w14:textId="55466153" w:rsidR="00223556" w:rsidRDefault="00223556" w:rsidP="00223556">
      <w:r>
        <w:t xml:space="preserve">I could make this huge, but I am going to recommend just a few here to get you thinking. Please avoid generic “sharing” sites like TES </w:t>
      </w:r>
      <w:proofErr w:type="gramStart"/>
      <w:r>
        <w:t>resources, or</w:t>
      </w:r>
      <w:proofErr w:type="gramEnd"/>
      <w:r>
        <w:t xml:space="preserve"> pay sites peddling their own pedagogies. These are OK to an extent, but they need an expert eye to </w:t>
      </w:r>
      <w:r w:rsidR="001B7791">
        <w:t>critically analyse them for quality and appropriateness</w:t>
      </w:r>
      <w:r>
        <w:t>.</w:t>
      </w:r>
    </w:p>
    <w:p w14:paraId="270521E8" w14:textId="77777777" w:rsidR="005915D8" w:rsidRDefault="005915D8" w:rsidP="0022355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8"/>
        <w:gridCol w:w="4868"/>
      </w:tblGrid>
      <w:tr w:rsidR="00223556" w14:paraId="448D0987" w14:textId="77777777" w:rsidTr="00160175">
        <w:tc>
          <w:tcPr>
            <w:tcW w:w="2500" w:type="pct"/>
          </w:tcPr>
          <w:p w14:paraId="152E6FA5" w14:textId="77777777" w:rsidR="00223556" w:rsidRPr="00346A1D" w:rsidRDefault="00223556" w:rsidP="00160175">
            <w:pPr>
              <w:rPr>
                <w:b/>
              </w:rPr>
            </w:pPr>
            <w:r w:rsidRPr="00346A1D">
              <w:rPr>
                <w:b/>
              </w:rPr>
              <w:t>Website</w:t>
            </w:r>
          </w:p>
        </w:tc>
        <w:tc>
          <w:tcPr>
            <w:tcW w:w="2500" w:type="pct"/>
          </w:tcPr>
          <w:p w14:paraId="317DDCD1" w14:textId="77777777" w:rsidR="00223556" w:rsidRPr="00346A1D" w:rsidRDefault="00223556" w:rsidP="00160175">
            <w:pPr>
              <w:rPr>
                <w:b/>
              </w:rPr>
            </w:pPr>
            <w:r w:rsidRPr="00346A1D">
              <w:rPr>
                <w:b/>
              </w:rPr>
              <w:t>Website</w:t>
            </w:r>
          </w:p>
        </w:tc>
      </w:tr>
      <w:tr w:rsidR="00794D13" w14:paraId="40556481" w14:textId="77777777" w:rsidTr="00160175">
        <w:tc>
          <w:tcPr>
            <w:tcW w:w="2500" w:type="pct"/>
          </w:tcPr>
          <w:p w14:paraId="765F5B34" w14:textId="29FE0769" w:rsidR="00794D13" w:rsidRPr="00331254" w:rsidRDefault="00331254" w:rsidP="00160175">
            <w:pPr>
              <w:rPr>
                <w:bCs/>
                <w:i/>
                <w:iCs/>
              </w:rPr>
            </w:pPr>
            <w:hyperlink r:id="rId24" w:history="1">
              <w:r w:rsidRPr="00331254">
                <w:rPr>
                  <w:rStyle w:val="Hyperlink"/>
                  <w:bCs/>
                  <w:i/>
                  <w:iCs/>
                  <w:sz w:val="24"/>
                  <w:szCs w:val="24"/>
                </w:rPr>
                <w:t>www.thenational.academy</w:t>
              </w:r>
            </w:hyperlink>
            <w:r w:rsidRPr="00331254">
              <w:rPr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33AC2F1" w14:textId="485C4536" w:rsidR="00794D13" w:rsidRPr="00346A1D" w:rsidRDefault="00331254" w:rsidP="00160175">
            <w:pPr>
              <w:rPr>
                <w:b/>
              </w:rPr>
            </w:pPr>
            <w:hyperlink r:id="rId25" w:history="1">
              <w:r w:rsidRPr="002F79C1">
                <w:rPr>
                  <w:rStyle w:val="Hyperlink"/>
                  <w:i/>
                  <w:sz w:val="24"/>
                  <w:szCs w:val="24"/>
                </w:rPr>
                <w:t>www.resourceaholic.com</w:t>
              </w:r>
            </w:hyperlink>
          </w:p>
        </w:tc>
      </w:tr>
      <w:tr w:rsidR="00CC32CD" w14:paraId="399CFD44" w14:textId="77777777" w:rsidTr="00160175">
        <w:tc>
          <w:tcPr>
            <w:tcW w:w="2500" w:type="pct"/>
          </w:tcPr>
          <w:p w14:paraId="1272B2C6" w14:textId="2360E223" w:rsidR="00CC32CD" w:rsidRPr="00346A1D" w:rsidRDefault="00331254" w:rsidP="00160175">
            <w:pPr>
              <w:rPr>
                <w:b/>
              </w:rPr>
            </w:pPr>
            <w:hyperlink r:id="rId26" w:history="1">
              <w:r w:rsidRPr="009F1BBD">
                <w:rPr>
                  <w:rStyle w:val="Hyperlink"/>
                  <w:i/>
                  <w:sz w:val="24"/>
                  <w:szCs w:val="24"/>
                </w:rPr>
                <w:t>www.mathsbot.com</w:t>
              </w:r>
            </w:hyperlink>
          </w:p>
        </w:tc>
        <w:tc>
          <w:tcPr>
            <w:tcW w:w="2500" w:type="pct"/>
          </w:tcPr>
          <w:p w14:paraId="5540FFAA" w14:textId="128F838B" w:rsidR="00CC32CD" w:rsidRPr="00B83CF9" w:rsidRDefault="00E075C0" w:rsidP="00160175">
            <w:pPr>
              <w:rPr>
                <w:bCs/>
                <w:i/>
                <w:iCs/>
                <w:sz w:val="24"/>
                <w:szCs w:val="24"/>
              </w:rPr>
            </w:pPr>
            <w:hyperlink r:id="rId27" w:history="1">
              <w:r w:rsidRPr="00B83CF9">
                <w:rPr>
                  <w:rStyle w:val="Hyperlink"/>
                  <w:bCs/>
                  <w:i/>
                  <w:iCs/>
                  <w:sz w:val="24"/>
                  <w:szCs w:val="24"/>
                </w:rPr>
                <w:t>p</w:t>
              </w:r>
              <w:r w:rsidR="000A31A6" w:rsidRPr="00B83CF9">
                <w:rPr>
                  <w:rStyle w:val="Hyperlink"/>
                  <w:bCs/>
                  <w:i/>
                  <w:iCs/>
                  <w:sz w:val="24"/>
                  <w:szCs w:val="24"/>
                </w:rPr>
                <w:t>olypad</w:t>
              </w:r>
              <w:r w:rsidRPr="00B83CF9">
                <w:rPr>
                  <w:rStyle w:val="Hyperlink"/>
                  <w:bCs/>
                  <w:i/>
                  <w:iCs/>
                  <w:sz w:val="24"/>
                  <w:szCs w:val="24"/>
                </w:rPr>
                <w:t>.amplify.com</w:t>
              </w:r>
            </w:hyperlink>
          </w:p>
        </w:tc>
      </w:tr>
      <w:tr w:rsidR="00223556" w14:paraId="3B684BFA" w14:textId="77777777" w:rsidTr="00160175">
        <w:tc>
          <w:tcPr>
            <w:tcW w:w="2500" w:type="pct"/>
          </w:tcPr>
          <w:p w14:paraId="71B36472" w14:textId="6CC10316" w:rsidR="00223556" w:rsidRPr="009A069B" w:rsidRDefault="009A069B" w:rsidP="009A069B">
            <w:pPr>
              <w:rPr>
                <w:i/>
                <w:iCs/>
                <w:color w:val="CC0000" w:themeColor="accent1" w:themeShade="80"/>
              </w:rPr>
            </w:pPr>
            <w:hyperlink r:id="rId28" w:history="1">
              <w:r w:rsidRPr="00042152">
                <w:rPr>
                  <w:rStyle w:val="Hyperlink"/>
                  <w:i/>
                  <w:iCs/>
                  <w:sz w:val="24"/>
                  <w:szCs w:val="24"/>
                </w:rPr>
                <w:t>www.bossmaths.com</w:t>
              </w:r>
            </w:hyperlink>
            <w:r w:rsidR="0013668A" w:rsidRPr="009A069B">
              <w:rPr>
                <w:i/>
                <w:iCs/>
                <w:color w:val="CC0000" w:themeColor="accent1" w:themeShade="80"/>
              </w:rPr>
              <w:t xml:space="preserve"> </w:t>
            </w:r>
          </w:p>
        </w:tc>
        <w:tc>
          <w:tcPr>
            <w:tcW w:w="2500" w:type="pct"/>
          </w:tcPr>
          <w:p w14:paraId="0A21528B" w14:textId="7F130D35" w:rsidR="00223556" w:rsidRPr="004F7DC3" w:rsidRDefault="00F03BF1" w:rsidP="004F7DC3">
            <w:pPr>
              <w:rPr>
                <w:color w:val="CC0000" w:themeColor="accent1" w:themeShade="80"/>
              </w:rPr>
            </w:pPr>
            <w:hyperlink r:id="rId29" w:history="1">
              <w:r w:rsidRPr="00042152">
                <w:rPr>
                  <w:rStyle w:val="Hyperlink"/>
                  <w:i/>
                  <w:sz w:val="24"/>
                  <w:szCs w:val="24"/>
                </w:rPr>
                <w:t>www.mrbartonmaths.com</w:t>
              </w:r>
            </w:hyperlink>
          </w:p>
        </w:tc>
      </w:tr>
      <w:tr w:rsidR="004F7DC3" w14:paraId="33A34D3E" w14:textId="77777777" w:rsidTr="00160175">
        <w:tc>
          <w:tcPr>
            <w:tcW w:w="2500" w:type="pct"/>
          </w:tcPr>
          <w:p w14:paraId="2B37997A" w14:textId="6EF66407" w:rsidR="004F7DC3" w:rsidRPr="001F7CF4" w:rsidRDefault="004F7DC3" w:rsidP="004F7DC3">
            <w:pPr>
              <w:rPr>
                <w:color w:val="CC0000" w:themeColor="accent1" w:themeShade="80"/>
              </w:rPr>
            </w:pPr>
            <w:hyperlink r:id="rId30" w:history="1">
              <w:r w:rsidRPr="008035D6">
                <w:rPr>
                  <w:rStyle w:val="Hyperlink"/>
                  <w:i/>
                  <w:sz w:val="24"/>
                  <w:szCs w:val="24"/>
                </w:rPr>
                <w:t>www.mathsgenie.co.uk</w:t>
              </w:r>
            </w:hyperlink>
          </w:p>
        </w:tc>
        <w:tc>
          <w:tcPr>
            <w:tcW w:w="2500" w:type="pct"/>
          </w:tcPr>
          <w:p w14:paraId="0F07A721" w14:textId="19D38F06" w:rsidR="004F7DC3" w:rsidRPr="008C7B8C" w:rsidRDefault="00000E94" w:rsidP="008C7B8C">
            <w:pPr>
              <w:rPr>
                <w:i/>
                <w:iCs/>
                <w:color w:val="CC0000" w:themeColor="accent1" w:themeShade="80"/>
              </w:rPr>
            </w:pPr>
            <w:hyperlink r:id="rId31" w:history="1">
              <w:r w:rsidRPr="009F1BBD">
                <w:rPr>
                  <w:rStyle w:val="Hyperlink"/>
                  <w:i/>
                  <w:sz w:val="24"/>
                  <w:szCs w:val="24"/>
                </w:rPr>
                <w:t>www.drfrostmaths.com</w:t>
              </w:r>
            </w:hyperlink>
          </w:p>
        </w:tc>
      </w:tr>
    </w:tbl>
    <w:p w14:paraId="46D7B7FD" w14:textId="77777777" w:rsidR="005915D8" w:rsidRDefault="005915D8" w:rsidP="00223556"/>
    <w:p w14:paraId="538DD45F" w14:textId="77777777" w:rsidR="00C73C69" w:rsidRDefault="00C73C69" w:rsidP="00223556"/>
    <w:p w14:paraId="7E692DF4" w14:textId="2F0DCC49" w:rsidR="00223556" w:rsidRDefault="00906169" w:rsidP="00223556">
      <w:pPr>
        <w:pStyle w:val="Heading1"/>
      </w:pPr>
      <w:r>
        <w:rPr>
          <w:noProof/>
        </w:rPr>
        <w:drawing>
          <wp:inline distT="0" distB="0" distL="0" distR="0" wp14:anchorId="24587CFE" wp14:editId="1606506E">
            <wp:extent cx="397963" cy="397963"/>
            <wp:effectExtent l="0" t="0" r="2540" b="2540"/>
            <wp:docPr id="1956779347" name="Picture 1" descr="Bluesky and your brand by Heidi Water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sky and your brand by Heidi Waterhous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07" cy="404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3556">
        <w:t xml:space="preserve"> Keeping in touch with the </w:t>
      </w:r>
      <w:r w:rsidR="005915D8">
        <w:t xml:space="preserve">Maths </w:t>
      </w:r>
      <w:r w:rsidR="00223556">
        <w:t>world</w:t>
      </w:r>
    </w:p>
    <w:p w14:paraId="2414EE57" w14:textId="02B7E968" w:rsidR="00223556" w:rsidRDefault="00223556" w:rsidP="00223556">
      <w:r>
        <w:t xml:space="preserve">Beyond websites you should also get on </w:t>
      </w:r>
      <w:r w:rsidR="00906169">
        <w:t>social media</w:t>
      </w:r>
      <w:r>
        <w:t xml:space="preserve"> </w:t>
      </w:r>
      <w:r w:rsidR="005915D8">
        <w:t>to sta</w:t>
      </w:r>
      <w:r>
        <w:t xml:space="preserve">rt you off. </w:t>
      </w:r>
      <w:r w:rsidR="00906169">
        <w:t xml:space="preserve">Many </w:t>
      </w:r>
      <w:r w:rsidR="00721637">
        <w:t xml:space="preserve">influential and inspiring maths teachers can be found on Blue Sky. </w:t>
      </w:r>
      <w:r>
        <w:t>Look out for the #</w:t>
      </w:r>
      <w:r w:rsidR="00E97174">
        <w:t>M</w:t>
      </w:r>
      <w:r w:rsidR="00B05DF2">
        <w:t>aths</w:t>
      </w:r>
      <w:r w:rsidR="00E97174">
        <w:t>T</w:t>
      </w:r>
      <w:r w:rsidR="00B05DF2">
        <w:t>oday</w:t>
      </w:r>
      <w:r>
        <w:t>, #</w:t>
      </w:r>
      <w:r w:rsidR="00E97174">
        <w:t>UKMathsChat</w:t>
      </w:r>
      <w:r>
        <w:t xml:space="preserve"> and #</w:t>
      </w:r>
      <w:r w:rsidR="00D20521">
        <w:t>iTeachMaths</w:t>
      </w:r>
      <w:r>
        <w:t xml:space="preserve"> hashtags </w:t>
      </w:r>
      <w:r w:rsidR="00D20521">
        <w:t xml:space="preserve">for lots of </w:t>
      </w:r>
      <w:r w:rsidR="00AB10CD">
        <w:t>quick ideas for teaching maths</w:t>
      </w:r>
      <w:r>
        <w:t xml:space="preserve">. </w:t>
      </w:r>
      <w:r w:rsidRPr="00E07FF3">
        <w:t>Top follows include:</w:t>
      </w:r>
    </w:p>
    <w:p w14:paraId="13929B59" w14:textId="77777777" w:rsidR="005915D8" w:rsidRPr="00E07FF3" w:rsidRDefault="005915D8" w:rsidP="0022355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AB10CD" w14:paraId="442FC3F7" w14:textId="77777777" w:rsidTr="00160175">
        <w:tc>
          <w:tcPr>
            <w:tcW w:w="4868" w:type="dxa"/>
          </w:tcPr>
          <w:p w14:paraId="2611E79B" w14:textId="0F4C0DC9" w:rsidR="00AB10CD" w:rsidRDefault="00AB10CD" w:rsidP="00160175">
            <w:r>
              <w:t>@</w:t>
            </w:r>
            <w:proofErr w:type="gramStart"/>
            <w:r>
              <w:t>mathsgem</w:t>
            </w:r>
            <w:r w:rsidR="005D0B22">
              <w:t>.bsky</w:t>
            </w:r>
            <w:proofErr w:type="gramEnd"/>
            <w:r w:rsidR="005D0B22">
              <w:t>.social</w:t>
            </w:r>
          </w:p>
        </w:tc>
        <w:tc>
          <w:tcPr>
            <w:tcW w:w="4868" w:type="dxa"/>
          </w:tcPr>
          <w:p w14:paraId="17EEEE11" w14:textId="2A7F0698" w:rsidR="00AB10CD" w:rsidRDefault="005D0B22" w:rsidP="00160175">
            <w:r>
              <w:t>@</w:t>
            </w:r>
            <w:proofErr w:type="gramStart"/>
            <w:r>
              <w:t>StudyMaths</w:t>
            </w:r>
            <w:r>
              <w:t>.bsky.social</w:t>
            </w:r>
            <w:proofErr w:type="gramEnd"/>
          </w:p>
        </w:tc>
      </w:tr>
      <w:tr w:rsidR="00223556" w14:paraId="7277C2DF" w14:textId="77777777" w:rsidTr="00160175">
        <w:tc>
          <w:tcPr>
            <w:tcW w:w="4868" w:type="dxa"/>
          </w:tcPr>
          <w:p w14:paraId="52084D75" w14:textId="4E049A1C" w:rsidR="00223556" w:rsidRDefault="00595C12" w:rsidP="00160175">
            <w:r>
              <w:t>@</w:t>
            </w:r>
            <w:proofErr w:type="gramStart"/>
            <w:r>
              <w:t>CatrionaAgg.bsky.social</w:t>
            </w:r>
            <w:proofErr w:type="gramEnd"/>
          </w:p>
        </w:tc>
        <w:tc>
          <w:tcPr>
            <w:tcW w:w="4868" w:type="dxa"/>
          </w:tcPr>
          <w:p w14:paraId="239050C8" w14:textId="646B9565" w:rsidR="00223556" w:rsidRDefault="00DF1ABA" w:rsidP="00160175">
            <w:r>
              <w:t>@</w:t>
            </w:r>
            <w:proofErr w:type="gramStart"/>
            <w:r>
              <w:t>CorbettMaths.bsky.social</w:t>
            </w:r>
            <w:proofErr w:type="gramEnd"/>
          </w:p>
        </w:tc>
      </w:tr>
      <w:tr w:rsidR="00223556" w14:paraId="6E58AA96" w14:textId="77777777" w:rsidTr="00160175">
        <w:tc>
          <w:tcPr>
            <w:tcW w:w="4868" w:type="dxa"/>
          </w:tcPr>
          <w:p w14:paraId="777BEA62" w14:textId="08F76F41" w:rsidR="00223556" w:rsidRDefault="003342D1" w:rsidP="00160175">
            <w:r>
              <w:t>@</w:t>
            </w:r>
            <w:proofErr w:type="gramStart"/>
            <w:r>
              <w:t>profsmudge</w:t>
            </w:r>
            <w:r w:rsidR="00FF05AB">
              <w:t>.bsky</w:t>
            </w:r>
            <w:proofErr w:type="gramEnd"/>
            <w:r w:rsidR="00FF05AB">
              <w:t>.social</w:t>
            </w:r>
          </w:p>
        </w:tc>
        <w:tc>
          <w:tcPr>
            <w:tcW w:w="4868" w:type="dxa"/>
          </w:tcPr>
          <w:p w14:paraId="67DB97BA" w14:textId="503E5DCB" w:rsidR="00223556" w:rsidRDefault="00CA0C45" w:rsidP="00160175">
            <w:r>
              <w:t>@</w:t>
            </w:r>
            <w:proofErr w:type="gramStart"/>
            <w:r w:rsidR="00E70E2F">
              <w:t>giftedhko.bsky</w:t>
            </w:r>
            <w:proofErr w:type="gramEnd"/>
            <w:r w:rsidR="00E70E2F">
              <w:t>.social</w:t>
            </w:r>
          </w:p>
        </w:tc>
      </w:tr>
      <w:tr w:rsidR="00223556" w14:paraId="40A7A569" w14:textId="77777777" w:rsidTr="00160175">
        <w:tc>
          <w:tcPr>
            <w:tcW w:w="4868" w:type="dxa"/>
          </w:tcPr>
          <w:p w14:paraId="5A952B89" w14:textId="29DE946A" w:rsidR="00223556" w:rsidRDefault="00CA0C45" w:rsidP="00160175">
            <w:r>
              <w:t>@</w:t>
            </w:r>
            <w:r w:rsidR="005C7563">
              <w:t>draustinmaths.com</w:t>
            </w:r>
          </w:p>
        </w:tc>
        <w:tc>
          <w:tcPr>
            <w:tcW w:w="4868" w:type="dxa"/>
          </w:tcPr>
          <w:p w14:paraId="27B4081A" w14:textId="33721B81" w:rsidR="00223556" w:rsidRDefault="00CA0C45" w:rsidP="00160175">
            <w:r>
              <w:t>@</w:t>
            </w:r>
            <w:proofErr w:type="gramStart"/>
            <w:r w:rsidR="009C017E">
              <w:t>blatherwicksam</w:t>
            </w:r>
            <w:r w:rsidR="00170D0B">
              <w:t>.bsky</w:t>
            </w:r>
            <w:proofErr w:type="gramEnd"/>
            <w:r w:rsidR="00170D0B">
              <w:t>.social</w:t>
            </w:r>
          </w:p>
        </w:tc>
      </w:tr>
    </w:tbl>
    <w:p w14:paraId="382DF928" w14:textId="77777777" w:rsidR="004505BF" w:rsidRDefault="004505BF" w:rsidP="00170D0B"/>
    <w:p w14:paraId="5178D83D" w14:textId="5220449C" w:rsidR="00D86B1C" w:rsidRDefault="00C42CBC" w:rsidP="00D86B1C">
      <w:pPr>
        <w:pStyle w:val="Heading1"/>
      </w:pPr>
      <w:r>
        <w:lastRenderedPageBreak/>
        <w:t xml:space="preserve">Task </w:t>
      </w:r>
      <w:r w:rsidR="00325A33">
        <w:t>3</w:t>
      </w:r>
      <w:r w:rsidR="00D86B1C">
        <w:t>: Preparatory Reading</w:t>
      </w:r>
    </w:p>
    <w:p w14:paraId="2C162A0F" w14:textId="2AE75455" w:rsidR="00C42CBC" w:rsidRDefault="00C42CBC">
      <w:pPr>
        <w:rPr>
          <w:rFonts w:asciiTheme="majorHAnsi" w:eastAsiaTheme="majorEastAsia" w:hAnsiTheme="majorHAnsi" w:cstheme="majorBidi"/>
          <w:color w:val="FF3232" w:themeColor="accent1" w:themeShade="BF"/>
          <w:sz w:val="32"/>
          <w:szCs w:val="32"/>
        </w:rPr>
      </w:pPr>
    </w:p>
    <w:p w14:paraId="47E74DC3" w14:textId="47C7726D" w:rsidR="00AD75F5" w:rsidRDefault="00AD75F5" w:rsidP="00004A99">
      <w:pPr>
        <w:rPr>
          <w:b/>
        </w:rPr>
        <w:sectPr w:rsidR="00AD75F5" w:rsidSect="00AD75F5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50D7D848" w14:textId="650A0297" w:rsidR="00004A99" w:rsidRDefault="00EC57DD" w:rsidP="00BE5246">
      <w:pPr>
        <w:pStyle w:val="Heading1"/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68BF05A6" wp14:editId="5374ED77">
            <wp:simplePos x="0" y="0"/>
            <wp:positionH relativeFrom="margin">
              <wp:align>left</wp:align>
            </wp:positionH>
            <wp:positionV relativeFrom="paragraph">
              <wp:posOffset>154940</wp:posOffset>
            </wp:positionV>
            <wp:extent cx="720000" cy="718681"/>
            <wp:effectExtent l="0" t="0" r="4445" b="5715"/>
            <wp:wrapTight wrapText="bothSides">
              <wp:wrapPolygon edited="0">
                <wp:start x="1716" y="0"/>
                <wp:lineTo x="0" y="1719"/>
                <wp:lineTo x="0" y="18907"/>
                <wp:lineTo x="1144" y="21199"/>
                <wp:lineTo x="20018" y="21199"/>
                <wp:lineTo x="21162" y="18907"/>
                <wp:lineTo x="21162" y="1719"/>
                <wp:lineTo x="19446" y="0"/>
                <wp:lineTo x="1716" y="0"/>
              </wp:wrapPolygon>
            </wp:wrapTight>
            <wp:docPr id="11" name="Picture 11" descr="http://www.andyjacksonenterprises.com/wp-content/uploads/2015/05/Ibooks2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ndyjacksonenterprises.com/wp-content/uploads/2015/05/Ibooks2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6" t="8132" r="8886" b="9788"/>
                    <a:stretch/>
                  </pic:blipFill>
                  <pic:spPr bwMode="auto">
                    <a:xfrm>
                      <a:off x="0" y="0"/>
                      <a:ext cx="720000" cy="71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</w:t>
      </w:r>
      <w:r w:rsidR="00004A99">
        <w:t>Some useful Books</w:t>
      </w:r>
    </w:p>
    <w:p w14:paraId="5B374850" w14:textId="394A57F8" w:rsidR="00E07FF3" w:rsidRPr="00C04B44" w:rsidRDefault="00E07FF3" w:rsidP="00E07FF3">
      <w:pPr>
        <w:rPr>
          <w:sz w:val="24"/>
          <w:szCs w:val="24"/>
        </w:rPr>
      </w:pPr>
      <w:r w:rsidRPr="00C04B44">
        <w:rPr>
          <w:sz w:val="24"/>
          <w:szCs w:val="24"/>
        </w:rPr>
        <w:t xml:space="preserve">A range of books which will help you develop your understanding of </w:t>
      </w:r>
      <w:r w:rsidR="00CA0C45" w:rsidRPr="00C04B44">
        <w:rPr>
          <w:sz w:val="24"/>
          <w:szCs w:val="24"/>
        </w:rPr>
        <w:t xml:space="preserve">maths, maths </w:t>
      </w:r>
      <w:r w:rsidRPr="00C04B44">
        <w:rPr>
          <w:sz w:val="24"/>
          <w:szCs w:val="24"/>
        </w:rPr>
        <w:t xml:space="preserve">teaching, and </w:t>
      </w:r>
      <w:r w:rsidR="00CA0C45" w:rsidRPr="00C04B44">
        <w:rPr>
          <w:sz w:val="24"/>
          <w:szCs w:val="24"/>
        </w:rPr>
        <w:t xml:space="preserve">the maths curriculum. </w:t>
      </w:r>
    </w:p>
    <w:p w14:paraId="5C9CA2AA" w14:textId="77777777" w:rsidR="00C04B44" w:rsidRDefault="00C04B44" w:rsidP="00E07FF3"/>
    <w:p w14:paraId="5E27BD67" w14:textId="5B293056" w:rsidR="00C04B44" w:rsidRPr="000D64C8" w:rsidRDefault="00C04B44" w:rsidP="00C04B44">
      <w:pPr>
        <w:pStyle w:val="Bibliography"/>
        <w:numPr>
          <w:ilvl w:val="0"/>
          <w:numId w:val="25"/>
        </w:numPr>
        <w:rPr>
          <w:rFonts w:ascii="Aptos" w:hAnsi="Aptos"/>
        </w:rPr>
      </w:pPr>
      <w:r>
        <w:fldChar w:fldCharType="begin"/>
      </w:r>
      <w:r>
        <w:instrText xml:space="preserve"> ADDIN ZOTERO_BIBL {"uncited":[],"omitted":[],"custom":[]} CSL_BIBLIOGRAPHY </w:instrText>
      </w:r>
      <w:r>
        <w:fldChar w:fldCharType="separate"/>
      </w:r>
      <w:r w:rsidRPr="000D64C8">
        <w:rPr>
          <w:rFonts w:ascii="Aptos" w:hAnsi="Aptos"/>
        </w:rPr>
        <w:t xml:space="preserve">Barton, C. (2018). </w:t>
      </w:r>
      <w:r w:rsidRPr="001C30E5">
        <w:rPr>
          <w:rFonts w:ascii="Aptos" w:hAnsi="Aptos"/>
          <w:i/>
          <w:iCs/>
        </w:rPr>
        <w:t>How I Wish I’d Taught Maths: Lessons learned from research, conversations with experts, and 12 years of mistakes</w:t>
      </w:r>
      <w:r w:rsidRPr="000D64C8">
        <w:rPr>
          <w:rFonts w:ascii="Aptos" w:hAnsi="Aptos"/>
        </w:rPr>
        <w:t>. John Catt Educational Ltd.</w:t>
      </w:r>
    </w:p>
    <w:p w14:paraId="3599F40E" w14:textId="77777777" w:rsidR="00C04B44" w:rsidRPr="000D64C8" w:rsidRDefault="00C04B44" w:rsidP="00C04B44">
      <w:pPr>
        <w:pStyle w:val="Bibliography"/>
        <w:numPr>
          <w:ilvl w:val="0"/>
          <w:numId w:val="25"/>
        </w:numPr>
        <w:rPr>
          <w:rFonts w:ascii="Aptos" w:hAnsi="Aptos"/>
        </w:rPr>
      </w:pPr>
      <w:r w:rsidRPr="000D64C8">
        <w:rPr>
          <w:rFonts w:ascii="Aptos" w:hAnsi="Aptos"/>
        </w:rPr>
        <w:t xml:space="preserve">McCrea, E. (2019). </w:t>
      </w:r>
      <w:r w:rsidRPr="001C30E5">
        <w:rPr>
          <w:rFonts w:ascii="Aptos" w:hAnsi="Aptos"/>
          <w:i/>
          <w:iCs/>
        </w:rPr>
        <w:t>Making Every Maths Lesson Count: Six Principles to Support Great Maths Teaching.</w:t>
      </w:r>
      <w:r w:rsidRPr="000D64C8">
        <w:rPr>
          <w:rFonts w:ascii="Aptos" w:hAnsi="Aptos"/>
        </w:rPr>
        <w:t xml:space="preserve"> Crown House Publishing.</w:t>
      </w:r>
    </w:p>
    <w:p w14:paraId="6E349C8B" w14:textId="77777777" w:rsidR="00C04B44" w:rsidRPr="000D64C8" w:rsidRDefault="00C04B44" w:rsidP="00C04B44">
      <w:pPr>
        <w:pStyle w:val="Bibliography"/>
        <w:numPr>
          <w:ilvl w:val="0"/>
          <w:numId w:val="25"/>
        </w:numPr>
        <w:rPr>
          <w:rFonts w:ascii="Aptos" w:hAnsi="Aptos"/>
        </w:rPr>
      </w:pPr>
      <w:r w:rsidRPr="000D64C8">
        <w:rPr>
          <w:rFonts w:ascii="Aptos" w:hAnsi="Aptos"/>
        </w:rPr>
        <w:t xml:space="preserve">Sherwood, J., Meek, A., Kennedy, C., &amp; Weston, E. (2023). </w:t>
      </w:r>
      <w:r w:rsidRPr="001C30E5">
        <w:rPr>
          <w:rFonts w:ascii="Aptos" w:hAnsi="Aptos"/>
          <w:i/>
          <w:iCs/>
        </w:rPr>
        <w:t>Succeeding as a Maths Teacher: The ultimate guide to teaching secondary maths</w:t>
      </w:r>
      <w:r w:rsidRPr="000D64C8">
        <w:rPr>
          <w:rFonts w:ascii="Aptos" w:hAnsi="Aptos"/>
        </w:rPr>
        <w:t>. Bloomsbury Education.</w:t>
      </w:r>
    </w:p>
    <w:p w14:paraId="73666A11" w14:textId="77777777" w:rsidR="00C04B44" w:rsidRPr="000D64C8" w:rsidRDefault="00C04B44" w:rsidP="00C04B44">
      <w:pPr>
        <w:pStyle w:val="Bibliography"/>
        <w:numPr>
          <w:ilvl w:val="0"/>
          <w:numId w:val="25"/>
        </w:numPr>
        <w:rPr>
          <w:rFonts w:ascii="Aptos" w:hAnsi="Aptos"/>
        </w:rPr>
      </w:pPr>
      <w:r w:rsidRPr="000D64C8">
        <w:rPr>
          <w:rFonts w:ascii="Aptos" w:hAnsi="Aptos"/>
        </w:rPr>
        <w:t xml:space="preserve">Southall, E. (2017). </w:t>
      </w:r>
      <w:r w:rsidRPr="001C30E5">
        <w:rPr>
          <w:rFonts w:ascii="Aptos" w:hAnsi="Aptos"/>
          <w:i/>
          <w:iCs/>
        </w:rPr>
        <w:t>Yes, but why? Teaching for understanding in mathematics</w:t>
      </w:r>
      <w:r w:rsidRPr="000D64C8">
        <w:rPr>
          <w:rFonts w:ascii="Aptos" w:hAnsi="Aptos"/>
        </w:rPr>
        <w:t>. SAGE Publications Ltd.</w:t>
      </w:r>
    </w:p>
    <w:p w14:paraId="1330F4A0" w14:textId="3B000BD5" w:rsidR="00CA0C45" w:rsidRDefault="00C04B44" w:rsidP="00C04B44">
      <w:r>
        <w:fldChar w:fldCharType="end"/>
      </w:r>
    </w:p>
    <w:p w14:paraId="1C2EC27D" w14:textId="7AE04119" w:rsidR="00E07FF3" w:rsidRDefault="00CA0C45" w:rsidP="00CA0C45">
      <w:pPr>
        <w:pStyle w:val="Heading1"/>
      </w:pPr>
      <w:r>
        <w:t xml:space="preserve">Task 4: </w:t>
      </w:r>
      <w:r w:rsidR="005921B6">
        <w:t xml:space="preserve">Use this </w:t>
      </w:r>
      <w:r>
        <w:t xml:space="preserve">condensed </w:t>
      </w:r>
      <w:r w:rsidR="005921B6">
        <w:t>t</w:t>
      </w:r>
      <w:r>
        <w:t xml:space="preserve">opic </w:t>
      </w:r>
      <w:r w:rsidR="005921B6">
        <w:t>r</w:t>
      </w:r>
      <w:r>
        <w:t xml:space="preserve">evision </w:t>
      </w:r>
      <w:r w:rsidR="005921B6">
        <w:t>l</w:t>
      </w:r>
      <w:r>
        <w:t>ist</w:t>
      </w:r>
      <w:r w:rsidR="005921B6">
        <w:t xml:space="preserve"> to really focus your subject knowledge development: </w:t>
      </w:r>
      <w:r>
        <w:t xml:space="preserve"> </w:t>
      </w:r>
    </w:p>
    <w:p w14:paraId="48E80582" w14:textId="77777777" w:rsidR="00E07FF3" w:rsidRPr="00E07FF3" w:rsidRDefault="00E07FF3" w:rsidP="00E07FF3">
      <w:pPr>
        <w:sectPr w:rsidR="00E07FF3" w:rsidRPr="00E07FF3" w:rsidSect="00AD75F5"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1268"/>
        <w:gridCol w:w="1016"/>
        <w:gridCol w:w="708"/>
        <w:gridCol w:w="308"/>
        <w:gridCol w:w="1015"/>
        <w:gridCol w:w="520"/>
        <w:gridCol w:w="259"/>
        <w:gridCol w:w="236"/>
        <w:gridCol w:w="1015"/>
        <w:gridCol w:w="474"/>
        <w:gridCol w:w="284"/>
        <w:gridCol w:w="257"/>
        <w:gridCol w:w="1015"/>
        <w:gridCol w:w="1015"/>
      </w:tblGrid>
      <w:tr w:rsidR="00CA0C45" w:rsidRPr="00196595" w14:paraId="4103D0B7" w14:textId="77777777" w:rsidTr="00160175">
        <w:trPr>
          <w:trHeight w:val="30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AE3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0C6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965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Number and Algebra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F9F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119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4CD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8C4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48C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163E07FA" w14:textId="77777777" w:rsidTr="00160175">
        <w:trPr>
          <w:trHeight w:val="300"/>
        </w:trPr>
        <w:tc>
          <w:tcPr>
            <w:tcW w:w="4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DA37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Working with integers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52B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DF9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C5B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133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B94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6D544946" w14:textId="77777777" w:rsidTr="00160175">
        <w:trPr>
          <w:trHeight w:val="300"/>
        </w:trPr>
        <w:tc>
          <w:tcPr>
            <w:tcW w:w="93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4CF5F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Factors, multiples, expressing a number as a product of prime factors, HCF, LCM</w:t>
            </w:r>
          </w:p>
        </w:tc>
      </w:tr>
      <w:tr w:rsidR="00CA0C45" w:rsidRPr="00196595" w14:paraId="08856A7B" w14:textId="77777777" w:rsidTr="00160175">
        <w:trPr>
          <w:trHeight w:val="300"/>
        </w:trPr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F37F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Fractions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2CB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8A0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F9B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02B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493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D78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0FAD3EEB" w14:textId="77777777" w:rsidTr="00160175">
        <w:trPr>
          <w:trHeight w:val="300"/>
        </w:trPr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9DA5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Decimals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75D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B99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423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6E4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976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01D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50D3DC04" w14:textId="77777777" w:rsidTr="00160175">
        <w:trPr>
          <w:trHeight w:val="300"/>
        </w:trPr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7E7D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Converting recurring decimals to fractions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2EF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A45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FCB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37ED4809" w14:textId="77777777" w:rsidTr="00160175">
        <w:trPr>
          <w:trHeight w:val="300"/>
        </w:trPr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C5ADE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Power and Roots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F98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563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344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64F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899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07C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46F0E3C5" w14:textId="77777777" w:rsidTr="00160175">
        <w:trPr>
          <w:trHeight w:val="300"/>
        </w:trPr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61B5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Set Theory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12E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F47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BE4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EC2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750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222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2CBE5529" w14:textId="77777777" w:rsidTr="00160175">
        <w:trPr>
          <w:trHeight w:val="300"/>
        </w:trPr>
        <w:tc>
          <w:tcPr>
            <w:tcW w:w="93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DFD9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Percentages</w:t>
            </w:r>
            <w:r>
              <w:rPr>
                <w:rFonts w:ascii="Calibri" w:eastAsia="Symbol" w:hAnsi="Calibri" w:cs="Calibri"/>
                <w:color w:val="000000"/>
                <w:lang w:eastAsia="en-GB"/>
              </w:rPr>
              <w:t xml:space="preserve"> including reverse percentages (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finding the original quantity</w:t>
            </w:r>
            <w:r>
              <w:rPr>
                <w:rFonts w:ascii="Calibri" w:eastAsia="Symbol" w:hAnsi="Calibri" w:cs="Calibri"/>
                <w:color w:val="000000"/>
                <w:lang w:eastAsia="en-GB"/>
              </w:rPr>
              <w:t>)</w:t>
            </w:r>
          </w:p>
        </w:tc>
      </w:tr>
      <w:tr w:rsidR="00CA0C45" w:rsidRPr="00196595" w14:paraId="19A1C180" w14:textId="77777777" w:rsidTr="00160175">
        <w:trPr>
          <w:trHeight w:val="300"/>
        </w:trPr>
        <w:tc>
          <w:tcPr>
            <w:tcW w:w="7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CAC2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Repeated percentage change and compound interest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252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321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27D3F530" w14:textId="77777777" w:rsidTr="00160175">
        <w:trPr>
          <w:trHeight w:val="300"/>
        </w:trPr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90BDC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Ratio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F84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768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291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960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2EC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D7F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F28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73C73B2E" w14:textId="77777777" w:rsidTr="00160175">
        <w:trPr>
          <w:trHeight w:val="300"/>
        </w:trPr>
        <w:tc>
          <w:tcPr>
            <w:tcW w:w="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005E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Estimating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C60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D70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20E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E1B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0D36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A4F7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563260B2" w14:textId="77777777" w:rsidTr="00160175">
        <w:trPr>
          <w:trHeight w:val="300"/>
        </w:trPr>
        <w:tc>
          <w:tcPr>
            <w:tcW w:w="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64155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Decimal places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29D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7C9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66C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A36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833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76C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4B85ED9C" w14:textId="77777777" w:rsidTr="00160175">
        <w:trPr>
          <w:trHeight w:val="300"/>
        </w:trPr>
        <w:tc>
          <w:tcPr>
            <w:tcW w:w="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738A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Significant figures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5E0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3E2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876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473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102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75B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73B600D6" w14:textId="77777777" w:rsidTr="00160175">
        <w:trPr>
          <w:trHeight w:val="300"/>
        </w:trPr>
        <w:tc>
          <w:tcPr>
            <w:tcW w:w="5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9445F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Upper and lower bounds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F46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47D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EC3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411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AE2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63824040" w14:textId="77777777" w:rsidTr="00160175">
        <w:trPr>
          <w:trHeight w:val="300"/>
        </w:trPr>
        <w:tc>
          <w:tcPr>
            <w:tcW w:w="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B01B0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Standard form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7EC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4B5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7D1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649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421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0D2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0E944CF0" w14:textId="77777777" w:rsidTr="00160175">
        <w:trPr>
          <w:trHeight w:val="300"/>
        </w:trPr>
        <w:tc>
          <w:tcPr>
            <w:tcW w:w="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CD57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Using a calculator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4BB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4FE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0EC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3C9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0A7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FA6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0FD7898E" w14:textId="77777777" w:rsidTr="00160175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85A66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Indices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F95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4FF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53E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653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D39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259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CE8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0A97BCD6" w14:textId="77777777" w:rsidTr="00160175">
        <w:trPr>
          <w:trHeight w:val="300"/>
        </w:trPr>
        <w:tc>
          <w:tcPr>
            <w:tcW w:w="93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4B9C4" w14:textId="77777777" w:rsidR="00CA0C45" w:rsidRDefault="00CA0C45" w:rsidP="00160175">
            <w:pPr>
              <w:spacing w:after="0" w:line="240" w:lineRule="auto"/>
              <w:ind w:firstLineChars="500" w:firstLine="1100"/>
              <w:rPr>
                <w:rFonts w:ascii="Calibri" w:eastAsia="Symbol" w:hAnsi="Calibri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 xml:space="preserve">Basic </w:t>
            </w:r>
            <w:proofErr w:type="gramStart"/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algebra;</w:t>
            </w:r>
            <w:proofErr w:type="gramEnd"/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 xml:space="preserve"> </w:t>
            </w:r>
          </w:p>
          <w:p w14:paraId="48178259" w14:textId="77777777" w:rsidR="00CA0C45" w:rsidRDefault="00CA0C45" w:rsidP="00CA0C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Symbol" w:hAnsi="Calibri" w:cs="Calibri"/>
                <w:color w:val="000000"/>
                <w:lang w:eastAsia="en-GB"/>
              </w:rPr>
            </w:pPr>
            <w:r>
              <w:rPr>
                <w:rFonts w:ascii="Calibri" w:eastAsia="Symbol" w:hAnsi="Calibri" w:cs="Calibri"/>
                <w:color w:val="000000"/>
                <w:lang w:eastAsia="en-GB"/>
              </w:rPr>
              <w:t>substitution</w:t>
            </w:r>
          </w:p>
          <w:p w14:paraId="48F06A9F" w14:textId="77777777" w:rsidR="00CA0C45" w:rsidRPr="00196595" w:rsidRDefault="00CA0C45" w:rsidP="00CA0C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Symbol" w:hAnsi="Calibri" w:cs="Calibri"/>
                <w:color w:val="000000"/>
                <w:lang w:eastAsia="en-GB"/>
              </w:rPr>
            </w:pPr>
            <w:r>
              <w:rPr>
                <w:rFonts w:ascii="Calibri" w:eastAsia="Symbol" w:hAnsi="Calibri" w:cs="Calibri"/>
                <w:color w:val="000000"/>
                <w:lang w:eastAsia="en-GB"/>
              </w:rPr>
              <w:t>collecting like terms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 xml:space="preserve"> </w:t>
            </w:r>
          </w:p>
          <w:p w14:paraId="4A372AE1" w14:textId="77777777" w:rsidR="00CA0C45" w:rsidRDefault="00CA0C45" w:rsidP="00CA0C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Symbol" w:hAnsi="Calibri" w:cs="Calibri"/>
                <w:color w:val="000000"/>
                <w:lang w:eastAsia="en-GB"/>
              </w:rPr>
            </w:pP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factorising by taking out common</w:t>
            </w:r>
            <w:r>
              <w:rPr>
                <w:rFonts w:ascii="Calibri" w:eastAsia="Symbol" w:hAnsi="Calibri" w:cs="Calibri"/>
                <w:color w:val="000000"/>
                <w:lang w:eastAsia="en-GB"/>
              </w:rPr>
              <w:t xml:space="preserve"> factors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 xml:space="preserve"> </w:t>
            </w:r>
          </w:p>
          <w:p w14:paraId="4174E0C4" w14:textId="77777777" w:rsidR="00CA0C45" w:rsidRPr="00196595" w:rsidRDefault="00CA0C45" w:rsidP="00CA0C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Symbol" w:hAnsi="Calibri" w:cs="Calibri"/>
                <w:color w:val="000000"/>
                <w:lang w:eastAsia="en-GB"/>
              </w:rPr>
            </w:pPr>
            <w:r>
              <w:rPr>
                <w:rFonts w:ascii="Calibri" w:eastAsia="Symbol" w:hAnsi="Calibri" w:cs="Calibri"/>
                <w:color w:val="000000"/>
                <w:lang w:eastAsia="en-GB"/>
              </w:rPr>
              <w:t>expanding brackets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 xml:space="preserve"> </w:t>
            </w:r>
          </w:p>
          <w:p w14:paraId="3BDF8FAD" w14:textId="77777777" w:rsidR="00CA0C45" w:rsidRPr="00196595" w:rsidRDefault="00CA0C45" w:rsidP="00CA0C4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using algebra to solve real life problems</w:t>
            </w:r>
          </w:p>
        </w:tc>
      </w:tr>
      <w:tr w:rsidR="00CA0C45" w:rsidRPr="00196595" w14:paraId="4672A2A2" w14:textId="77777777" w:rsidTr="00160175">
        <w:trPr>
          <w:trHeight w:val="300"/>
        </w:trPr>
        <w:tc>
          <w:tcPr>
            <w:tcW w:w="5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212D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lastRenderedPageBreak/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Expanding three brackets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A77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84A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ECC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810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C0F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0B88463B" w14:textId="77777777" w:rsidTr="00160175">
        <w:trPr>
          <w:trHeight w:val="300"/>
        </w:trPr>
        <w:tc>
          <w:tcPr>
            <w:tcW w:w="5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0CD3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Changing the subject of a formula</w:t>
            </w: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CAA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286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C3A2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C78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289FA700" w14:textId="77777777" w:rsidTr="00160175">
        <w:trPr>
          <w:trHeight w:val="300"/>
        </w:trPr>
        <w:tc>
          <w:tcPr>
            <w:tcW w:w="4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F8EA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Quadratic factorisation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D45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00D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202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43E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D80B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35AD8807" w14:textId="77777777" w:rsidTr="00160175">
        <w:trPr>
          <w:trHeight w:val="300"/>
        </w:trPr>
        <w:tc>
          <w:tcPr>
            <w:tcW w:w="71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7F86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 xml:space="preserve">Solving quadratic equations by factorising 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E6F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367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8D6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30F47E5E" w14:textId="77777777" w:rsidTr="00160175">
        <w:trPr>
          <w:trHeight w:val="300"/>
        </w:trPr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845B0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Linear equations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664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768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FBF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23E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2C9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3DE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24E9D44C" w14:textId="77777777" w:rsidTr="00160175">
        <w:trPr>
          <w:trHeight w:val="300"/>
        </w:trPr>
        <w:tc>
          <w:tcPr>
            <w:tcW w:w="68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9F83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Simultaneous linear equations</w:t>
            </w:r>
            <w:r>
              <w:rPr>
                <w:rFonts w:ascii="Calibri" w:eastAsia="Symbol" w:hAnsi="Calibri" w:cs="Calibri"/>
                <w:color w:val="000000"/>
                <w:lang w:eastAsia="en-GB"/>
              </w:rPr>
              <w:t xml:space="preserve"> – algebraic and graphical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236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225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74B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4A8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56301796" w14:textId="77777777" w:rsidTr="00160175">
        <w:trPr>
          <w:trHeight w:val="300"/>
        </w:trPr>
        <w:tc>
          <w:tcPr>
            <w:tcW w:w="5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22F9E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Direct and inverse proportion</w:t>
            </w:r>
          </w:p>
        </w:tc>
        <w:tc>
          <w:tcPr>
            <w:tcW w:w="1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893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2653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CA9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C8C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CCD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7730E37F" w14:textId="77777777" w:rsidTr="00160175">
        <w:trPr>
          <w:trHeight w:val="300"/>
        </w:trPr>
        <w:tc>
          <w:tcPr>
            <w:tcW w:w="68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C60A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Inequalities and shading regions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1A5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4C7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FDB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8EE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375BEFC0" w14:textId="77777777" w:rsidTr="00160175">
        <w:trPr>
          <w:trHeight w:val="300"/>
        </w:trPr>
        <w:tc>
          <w:tcPr>
            <w:tcW w:w="7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6617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 xml:space="preserve">Sequences - finding the nth term and arithmetic sequences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4A0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1DC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59328866" w14:textId="77777777" w:rsidTr="00160175">
        <w:trPr>
          <w:trHeight w:val="300"/>
        </w:trPr>
        <w:tc>
          <w:tcPr>
            <w:tcW w:w="5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62C7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Straight line graphs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57D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B98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55C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1A1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C98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1E47913E" w14:textId="77777777" w:rsidTr="00160175">
        <w:trPr>
          <w:trHeight w:val="30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A62C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95C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3BE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FAE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894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EC6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876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5FE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7F6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092CB6F5" w14:textId="77777777" w:rsidTr="00160175">
        <w:trPr>
          <w:trHeight w:val="30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CBAB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</w:p>
        </w:tc>
        <w:tc>
          <w:tcPr>
            <w:tcW w:w="3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384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965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Shape Space and Measure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283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2B0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6B69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373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FE9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156383E6" w14:textId="77777777" w:rsidTr="00160175">
        <w:trPr>
          <w:trHeight w:val="300"/>
        </w:trPr>
        <w:tc>
          <w:tcPr>
            <w:tcW w:w="5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38F27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Angles and triangles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7CD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54B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E00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180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5C56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0F9D5663" w14:textId="77777777" w:rsidTr="00160175">
        <w:trPr>
          <w:trHeight w:val="300"/>
        </w:trPr>
        <w:tc>
          <w:tcPr>
            <w:tcW w:w="5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C2DB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Interior and exterior angles of polygons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1D2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59F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B7F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304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6AA69BCF" w14:textId="77777777" w:rsidTr="00160175">
        <w:trPr>
          <w:trHeight w:val="300"/>
        </w:trPr>
        <w:tc>
          <w:tcPr>
            <w:tcW w:w="7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7BCBA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Angles and parallel lines; alternate, corresponding, allied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FE3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6B3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008DA34F" w14:textId="77777777" w:rsidTr="00160175">
        <w:trPr>
          <w:trHeight w:val="300"/>
        </w:trPr>
        <w:tc>
          <w:tcPr>
            <w:tcW w:w="4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4B30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Properties of polygons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34F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FC3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D0A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2D6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96D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7E5A7FF4" w14:textId="77777777" w:rsidTr="00160175">
        <w:trPr>
          <w:trHeight w:val="300"/>
        </w:trPr>
        <w:tc>
          <w:tcPr>
            <w:tcW w:w="83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ECD50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Understand congruence as meaning same size and same shape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581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6224180B" w14:textId="77777777" w:rsidTr="00160175">
        <w:trPr>
          <w:trHeight w:val="300"/>
        </w:trPr>
        <w:tc>
          <w:tcPr>
            <w:tcW w:w="50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BB68A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Line and rotational symmetry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B29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CFD7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0FE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0D6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A44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6D7496D6" w14:textId="77777777" w:rsidTr="00160175">
        <w:trPr>
          <w:trHeight w:val="300"/>
        </w:trPr>
        <w:tc>
          <w:tcPr>
            <w:tcW w:w="4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B544F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Three figure bearings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2D4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905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8FD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AEA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1E9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6CE11BD8" w14:textId="77777777" w:rsidTr="00160175">
        <w:trPr>
          <w:trHeight w:val="300"/>
        </w:trPr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7ABE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Pythagoras theorem in 2 and 3 dimensions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8D3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2CD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71F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170574DE" w14:textId="77777777" w:rsidTr="00160175">
        <w:trPr>
          <w:trHeight w:val="300"/>
        </w:trPr>
        <w:tc>
          <w:tcPr>
            <w:tcW w:w="7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1087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Right angled triangle trigonometry in 2 and 3 dimensions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C39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3D3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7594915E" w14:textId="77777777" w:rsidTr="00160175">
        <w:trPr>
          <w:trHeight w:val="300"/>
        </w:trPr>
        <w:tc>
          <w:tcPr>
            <w:tcW w:w="93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29FC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 xml:space="preserve">Advanced trigonometry - Sine and cosine rule and area of a triangle (Area = ½ </w:t>
            </w:r>
            <w:proofErr w:type="spellStart"/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absinC</w:t>
            </w:r>
            <w:proofErr w:type="spellEnd"/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)</w:t>
            </w:r>
          </w:p>
        </w:tc>
      </w:tr>
      <w:tr w:rsidR="00CA0C45" w:rsidRPr="00196595" w14:paraId="2060445A" w14:textId="77777777" w:rsidTr="00160175">
        <w:trPr>
          <w:trHeight w:val="300"/>
        </w:trPr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C7C5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Perimeter and area of 2D shapes including circles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BDE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87D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AC1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2B1FF511" w14:textId="77777777" w:rsidTr="00160175">
        <w:trPr>
          <w:trHeight w:val="300"/>
        </w:trPr>
        <w:tc>
          <w:tcPr>
            <w:tcW w:w="5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B018B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Surface area and volume of 3D shapes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0AF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548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DFF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134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1E7F3FF9" w14:textId="77777777" w:rsidTr="00160175">
        <w:trPr>
          <w:trHeight w:val="300"/>
        </w:trPr>
        <w:tc>
          <w:tcPr>
            <w:tcW w:w="5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4D18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Arc length, sector and segment area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42D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44D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F89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CF2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7346E378" w14:textId="77777777" w:rsidTr="00160175">
        <w:trPr>
          <w:trHeight w:val="300"/>
        </w:trPr>
        <w:tc>
          <w:tcPr>
            <w:tcW w:w="7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F267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Similar shapes including area and volume problems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083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D6F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72087320" w14:textId="77777777" w:rsidTr="00160175">
        <w:trPr>
          <w:trHeight w:val="300"/>
        </w:trPr>
        <w:tc>
          <w:tcPr>
            <w:tcW w:w="83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5F78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Transformations; enlargements, reflections, rotations, translations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2F3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1029C6D7" w14:textId="77777777" w:rsidTr="00160175">
        <w:trPr>
          <w:trHeight w:val="300"/>
        </w:trPr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7AA0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Scale drawing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E2A7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BEA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1883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BDA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085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96F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7D2732F5" w14:textId="77777777" w:rsidTr="00160175">
        <w:trPr>
          <w:trHeight w:val="300"/>
        </w:trPr>
        <w:tc>
          <w:tcPr>
            <w:tcW w:w="83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DE26D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Constructions – angle bisector and perpendicular bisector of a line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2B8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395666A6" w14:textId="77777777" w:rsidTr="00160175">
        <w:trPr>
          <w:trHeight w:val="300"/>
        </w:trPr>
        <w:tc>
          <w:tcPr>
            <w:tcW w:w="83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ADB6F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Calculate an estimate of the mean from a grouped frequency table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2A0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0B45D06B" w14:textId="77777777" w:rsidTr="00160175">
        <w:trPr>
          <w:trHeight w:val="300"/>
        </w:trPr>
        <w:tc>
          <w:tcPr>
            <w:tcW w:w="7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BDCE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Circle theorems including the intersecting chord theorem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56F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EE0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23B2BD90" w14:textId="77777777" w:rsidTr="00160175">
        <w:trPr>
          <w:trHeight w:val="30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95EDB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C40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5EB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A36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3E8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D4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331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BFB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987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220A4AF4" w14:textId="77777777" w:rsidTr="00160175">
        <w:trPr>
          <w:trHeight w:val="30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F6DC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</w:p>
        </w:tc>
        <w:tc>
          <w:tcPr>
            <w:tcW w:w="3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1C9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9659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Data Handling and Probability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3E9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1FF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4E9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434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E25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6D5BC741" w14:textId="77777777" w:rsidTr="00160175">
        <w:trPr>
          <w:trHeight w:val="300"/>
        </w:trPr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A3074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Probability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CCB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B55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A62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981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57D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B67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67B288AD" w14:textId="77777777" w:rsidTr="00160175">
        <w:trPr>
          <w:trHeight w:val="300"/>
        </w:trPr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ED8A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Histograms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BAB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15B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EFA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181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A01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96B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6C5DFA49" w14:textId="77777777" w:rsidTr="00160175">
        <w:trPr>
          <w:trHeight w:val="300"/>
        </w:trPr>
        <w:tc>
          <w:tcPr>
            <w:tcW w:w="93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3667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Cumulative frequency including finding median and interquartile range</w:t>
            </w:r>
          </w:p>
        </w:tc>
      </w:tr>
      <w:tr w:rsidR="00CA0C45" w:rsidRPr="00196595" w14:paraId="5A579F04" w14:textId="77777777" w:rsidTr="00160175">
        <w:trPr>
          <w:trHeight w:val="300"/>
        </w:trPr>
        <w:tc>
          <w:tcPr>
            <w:tcW w:w="5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BFCC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Pictograms, bar charts, pie charts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E9E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E377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394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311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19F4676B" w14:textId="77777777" w:rsidTr="00160175">
        <w:trPr>
          <w:trHeight w:val="300"/>
        </w:trPr>
        <w:tc>
          <w:tcPr>
            <w:tcW w:w="7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C3DDB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Mean, mode, median, range and interquartile range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DFFD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D53C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37FBBEC0" w14:textId="77777777" w:rsidTr="00160175">
        <w:trPr>
          <w:trHeight w:val="30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3116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023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EC8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42B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9B7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777F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97C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4F1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FBD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1AF34337" w14:textId="77777777" w:rsidTr="00160175">
        <w:trPr>
          <w:trHeight w:val="375"/>
        </w:trPr>
        <w:tc>
          <w:tcPr>
            <w:tcW w:w="5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9C72" w14:textId="77777777" w:rsidR="00CA0C45" w:rsidRPr="00196595" w:rsidRDefault="00CA0C45" w:rsidP="00160175">
            <w:pPr>
              <w:spacing w:after="0" w:line="240" w:lineRule="auto"/>
              <w:ind w:firstLineChars="500" w:firstLine="1405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Additional content….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B34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94C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36D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59CF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4769EAFB" w14:textId="77777777" w:rsidTr="00160175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5127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Vecto</w:t>
            </w:r>
            <w:r>
              <w:rPr>
                <w:rFonts w:ascii="Calibri" w:eastAsia="Symbol" w:hAnsi="Calibri" w:cs="Calibri"/>
                <w:color w:val="000000"/>
                <w:lang w:eastAsia="en-GB"/>
              </w:rPr>
              <w:t>rs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F32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CD0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70D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EC3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8FB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2C9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4CB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13FA8136" w14:textId="77777777" w:rsidTr="00160175">
        <w:trPr>
          <w:trHeight w:val="300"/>
        </w:trPr>
        <w:tc>
          <w:tcPr>
            <w:tcW w:w="3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8084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Functions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1FE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5DA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9CFF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A78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8A34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C94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7D0D2721" w14:textId="77777777" w:rsidTr="00160175">
        <w:trPr>
          <w:trHeight w:val="300"/>
        </w:trPr>
        <w:tc>
          <w:tcPr>
            <w:tcW w:w="5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BB4FC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Quadratic, cubic and reciprocal graphs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DC2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64E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26F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E5C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019C2B42" w14:textId="77777777" w:rsidTr="00160175">
        <w:trPr>
          <w:trHeight w:val="300"/>
        </w:trPr>
        <w:tc>
          <w:tcPr>
            <w:tcW w:w="43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30D27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Quadratic inequalities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8E3A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00B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53E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8BD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30F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255BDE2F" w14:textId="77777777" w:rsidTr="00160175">
        <w:trPr>
          <w:trHeight w:val="300"/>
        </w:trPr>
        <w:tc>
          <w:tcPr>
            <w:tcW w:w="7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426F1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 xml:space="preserve">Find the gradient of a </w:t>
            </w:r>
            <w:proofErr w:type="spellStart"/>
            <w:proofErr w:type="gramStart"/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non linear</w:t>
            </w:r>
            <w:proofErr w:type="spellEnd"/>
            <w:proofErr w:type="gramEnd"/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 xml:space="preserve"> graph by drawing a tangent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CC9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5E0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7AD62DC3" w14:textId="77777777" w:rsidTr="00160175">
        <w:trPr>
          <w:trHeight w:val="300"/>
        </w:trPr>
        <w:tc>
          <w:tcPr>
            <w:tcW w:w="6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77329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lastRenderedPageBreak/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Differentiation including linear kinematics</w:t>
            </w: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CDA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414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71E5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61ADC835" w14:textId="77777777" w:rsidTr="00160175">
        <w:trPr>
          <w:trHeight w:val="300"/>
        </w:trPr>
        <w:tc>
          <w:tcPr>
            <w:tcW w:w="93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8E4D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Solving quadratic equations by using the formula and completing the square</w:t>
            </w:r>
          </w:p>
        </w:tc>
      </w:tr>
      <w:tr w:rsidR="00CA0C45" w:rsidRPr="00196595" w14:paraId="5230874F" w14:textId="77777777" w:rsidTr="00160175">
        <w:trPr>
          <w:trHeight w:val="300"/>
        </w:trPr>
        <w:tc>
          <w:tcPr>
            <w:tcW w:w="5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87D9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Graphical solution of equations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6D9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366E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033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F680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4CA54C22" w14:textId="77777777" w:rsidTr="00160175">
        <w:trPr>
          <w:trHeight w:val="300"/>
        </w:trPr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B073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Surds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01F2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8766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5749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6DC1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3D9C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61D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2D1B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2AD3896B" w14:textId="77777777" w:rsidTr="00160175">
        <w:trPr>
          <w:trHeight w:val="300"/>
        </w:trPr>
        <w:tc>
          <w:tcPr>
            <w:tcW w:w="83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A0B2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Solving simultaneous equations one linear and one quadratic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FBF88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CA0C45" w:rsidRPr="00196595" w14:paraId="1AABE640" w14:textId="77777777" w:rsidTr="00160175">
        <w:trPr>
          <w:trHeight w:val="300"/>
        </w:trPr>
        <w:tc>
          <w:tcPr>
            <w:tcW w:w="53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8C84" w14:textId="77777777" w:rsidR="00CA0C45" w:rsidRDefault="00CA0C45" w:rsidP="00160175">
            <w:pPr>
              <w:spacing w:after="0" w:line="240" w:lineRule="auto"/>
              <w:ind w:firstLineChars="500" w:firstLine="1100"/>
              <w:rPr>
                <w:rFonts w:ascii="Calibri" w:eastAsia="Symbol" w:hAnsi="Calibri" w:cs="Calibri"/>
                <w:color w:val="000000"/>
                <w:lang w:eastAsia="en-GB"/>
              </w:rPr>
            </w:pPr>
            <w:r w:rsidRPr="00196595">
              <w:rPr>
                <w:rFonts w:ascii="Symbol" w:eastAsia="Symbol" w:hAnsi="Symbol" w:cs="Symbol"/>
                <w:color w:val="000000"/>
                <w:lang w:eastAsia="en-GB"/>
              </w:rPr>
              <w:t></w:t>
            </w:r>
            <w:r w:rsidRPr="00196595">
              <w:rPr>
                <w:rFonts w:ascii="Times New Roman" w:eastAsia="Symbol" w:hAnsi="Times New Roman" w:cs="Times New Roman"/>
                <w:color w:val="000000"/>
                <w:sz w:val="14"/>
                <w:szCs w:val="14"/>
                <w:lang w:eastAsia="en-GB"/>
              </w:rPr>
              <w:t xml:space="preserve">         </w:t>
            </w:r>
            <w:r w:rsidRPr="00196595">
              <w:rPr>
                <w:rFonts w:ascii="Calibri" w:eastAsia="Symbol" w:hAnsi="Calibri" w:cs="Calibri"/>
                <w:color w:val="000000"/>
                <w:lang w:eastAsia="en-GB"/>
              </w:rPr>
              <w:t>Transforming graphs of functions</w:t>
            </w:r>
          </w:p>
          <w:p w14:paraId="3D5A51BC" w14:textId="77777777" w:rsidR="00CA0C45" w:rsidRDefault="00CA0C45" w:rsidP="00160175">
            <w:pPr>
              <w:spacing w:after="0" w:line="240" w:lineRule="auto"/>
              <w:ind w:firstLineChars="500" w:firstLine="1100"/>
              <w:rPr>
                <w:rFonts w:ascii="Calibri" w:eastAsia="Symbol" w:hAnsi="Calibri" w:cs="Calibri"/>
                <w:color w:val="000000"/>
                <w:lang w:eastAsia="en-GB"/>
              </w:rPr>
            </w:pPr>
          </w:p>
          <w:p w14:paraId="4CFE7276" w14:textId="77777777" w:rsidR="00CA0C45" w:rsidRPr="00196595" w:rsidRDefault="00CA0C45" w:rsidP="00160175">
            <w:pPr>
              <w:spacing w:after="0" w:line="240" w:lineRule="auto"/>
              <w:ind w:firstLineChars="500" w:firstLine="1100"/>
              <w:rPr>
                <w:rFonts w:ascii="Symbol" w:eastAsia="Times New Roman" w:hAnsi="Symbol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F88D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115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0176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D0F3" w14:textId="77777777" w:rsidR="00CA0C45" w:rsidRPr="00196595" w:rsidRDefault="00CA0C45" w:rsidP="001601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1F106C82" w14:textId="359553FC" w:rsidR="00744C80" w:rsidRDefault="00744C80" w:rsidP="00744C80"/>
    <w:p w14:paraId="3CC3B7B9" w14:textId="3B6C117E" w:rsidR="001151BE" w:rsidRDefault="001151BE" w:rsidP="00744C80"/>
    <w:p w14:paraId="3BE7EE15" w14:textId="10B04863" w:rsidR="001151BE" w:rsidRPr="00744C80" w:rsidRDefault="001151BE" w:rsidP="00744C80">
      <w:r>
        <w:t xml:space="preserve">And </w:t>
      </w:r>
      <w:proofErr w:type="gramStart"/>
      <w:r>
        <w:t>finally</w:t>
      </w:r>
      <w:proofErr w:type="gramEnd"/>
      <w:r>
        <w:t xml:space="preserve"> please see the attached paper</w:t>
      </w:r>
      <w:r w:rsidR="00D303A5">
        <w:t xml:space="preserve"> produced by the Joint Mathematical</w:t>
      </w:r>
      <w:r w:rsidR="00452ACB">
        <w:t xml:space="preserve"> Council of the United Kingdom (JMC) with advice regarding how to develop Maths specific pedagogy for Initial Teacher Education. </w:t>
      </w:r>
      <w:r w:rsidR="00D303A5" w:rsidRPr="00D303A5">
        <w:rPr>
          <w:color w:val="C00000"/>
          <w:sz w:val="32"/>
        </w:rPr>
        <w:t xml:space="preserve"> </w:t>
      </w:r>
    </w:p>
    <w:sectPr w:rsidR="001151BE" w:rsidRPr="00744C80" w:rsidSect="00AD75F5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4016"/>
    <w:multiLevelType w:val="hybridMultilevel"/>
    <w:tmpl w:val="ACCCABFE"/>
    <w:lvl w:ilvl="0" w:tplc="C916F22E">
      <w:start w:val="11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55635"/>
    <w:multiLevelType w:val="hybridMultilevel"/>
    <w:tmpl w:val="0F768CBE"/>
    <w:lvl w:ilvl="0" w:tplc="C916F22E">
      <w:start w:val="1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C5E73"/>
    <w:multiLevelType w:val="hybridMultilevel"/>
    <w:tmpl w:val="9FCAA8F8"/>
    <w:lvl w:ilvl="0" w:tplc="C916F22E">
      <w:start w:val="1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B2593"/>
    <w:multiLevelType w:val="hybridMultilevel"/>
    <w:tmpl w:val="6DB06422"/>
    <w:lvl w:ilvl="0" w:tplc="C916F22E">
      <w:start w:val="1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5A7A"/>
    <w:multiLevelType w:val="hybridMultilevel"/>
    <w:tmpl w:val="9FE82AD6"/>
    <w:lvl w:ilvl="0" w:tplc="C916F22E">
      <w:start w:val="1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33FC"/>
    <w:multiLevelType w:val="hybridMultilevel"/>
    <w:tmpl w:val="1F9CF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171BA"/>
    <w:multiLevelType w:val="hybridMultilevel"/>
    <w:tmpl w:val="4D7C2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04CF"/>
    <w:multiLevelType w:val="hybridMultilevel"/>
    <w:tmpl w:val="AF5CCDE4"/>
    <w:lvl w:ilvl="0" w:tplc="0809000B">
      <w:start w:val="1"/>
      <w:numFmt w:val="bullet"/>
      <w:lvlText w:val=""/>
      <w:lvlJc w:val="left"/>
      <w:pPr>
        <w:ind w:left="18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8" w15:restartNumberingAfterBreak="0">
    <w:nsid w:val="2C4646FD"/>
    <w:multiLevelType w:val="hybridMultilevel"/>
    <w:tmpl w:val="1A3A6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F31D5"/>
    <w:multiLevelType w:val="hybridMultilevel"/>
    <w:tmpl w:val="7302A9C2"/>
    <w:lvl w:ilvl="0" w:tplc="98509AF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A10F1"/>
    <w:multiLevelType w:val="hybridMultilevel"/>
    <w:tmpl w:val="1F9024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435C5"/>
    <w:multiLevelType w:val="hybridMultilevel"/>
    <w:tmpl w:val="2A90627E"/>
    <w:lvl w:ilvl="0" w:tplc="C916F22E">
      <w:start w:val="1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C5C9A"/>
    <w:multiLevelType w:val="hybridMultilevel"/>
    <w:tmpl w:val="A478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24D62"/>
    <w:multiLevelType w:val="hybridMultilevel"/>
    <w:tmpl w:val="B57E3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573D8"/>
    <w:multiLevelType w:val="hybridMultilevel"/>
    <w:tmpl w:val="E0C2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74CE0"/>
    <w:multiLevelType w:val="hybridMultilevel"/>
    <w:tmpl w:val="FDA41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8565D"/>
    <w:multiLevelType w:val="hybridMultilevel"/>
    <w:tmpl w:val="1F9024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831D4E"/>
    <w:multiLevelType w:val="hybridMultilevel"/>
    <w:tmpl w:val="DE3C207C"/>
    <w:lvl w:ilvl="0" w:tplc="C916F22E">
      <w:start w:val="1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93F0F"/>
    <w:multiLevelType w:val="hybridMultilevel"/>
    <w:tmpl w:val="E8FA7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61A8E"/>
    <w:multiLevelType w:val="hybridMultilevel"/>
    <w:tmpl w:val="D662EB2E"/>
    <w:lvl w:ilvl="0" w:tplc="C916F22E">
      <w:start w:val="1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D3649"/>
    <w:multiLevelType w:val="hybridMultilevel"/>
    <w:tmpl w:val="D49853F0"/>
    <w:lvl w:ilvl="0" w:tplc="C916F22E">
      <w:start w:val="1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97FBF"/>
    <w:multiLevelType w:val="hybridMultilevel"/>
    <w:tmpl w:val="6C5C6626"/>
    <w:lvl w:ilvl="0" w:tplc="D5B654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14BA7"/>
    <w:multiLevelType w:val="hybridMultilevel"/>
    <w:tmpl w:val="1C902AC8"/>
    <w:lvl w:ilvl="0" w:tplc="C916F22E">
      <w:start w:val="1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421C4"/>
    <w:multiLevelType w:val="hybridMultilevel"/>
    <w:tmpl w:val="4A3C3C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BE1C2B"/>
    <w:multiLevelType w:val="hybridMultilevel"/>
    <w:tmpl w:val="831C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62723">
    <w:abstractNumId w:val="13"/>
  </w:num>
  <w:num w:numId="2" w16cid:durableId="1328171290">
    <w:abstractNumId w:val="2"/>
  </w:num>
  <w:num w:numId="3" w16cid:durableId="1425110631">
    <w:abstractNumId w:val="20"/>
  </w:num>
  <w:num w:numId="4" w16cid:durableId="1941793593">
    <w:abstractNumId w:val="17"/>
  </w:num>
  <w:num w:numId="5" w16cid:durableId="1701734787">
    <w:abstractNumId w:val="4"/>
  </w:num>
  <w:num w:numId="6" w16cid:durableId="826752739">
    <w:abstractNumId w:val="1"/>
  </w:num>
  <w:num w:numId="7" w16cid:durableId="520629051">
    <w:abstractNumId w:val="3"/>
  </w:num>
  <w:num w:numId="8" w16cid:durableId="1915780509">
    <w:abstractNumId w:val="6"/>
  </w:num>
  <w:num w:numId="9" w16cid:durableId="1415474346">
    <w:abstractNumId w:val="23"/>
  </w:num>
  <w:num w:numId="10" w16cid:durableId="28919900">
    <w:abstractNumId w:val="15"/>
  </w:num>
  <w:num w:numId="11" w16cid:durableId="1192842370">
    <w:abstractNumId w:val="10"/>
  </w:num>
  <w:num w:numId="12" w16cid:durableId="286202835">
    <w:abstractNumId w:val="0"/>
  </w:num>
  <w:num w:numId="13" w16cid:durableId="122698060">
    <w:abstractNumId w:val="22"/>
  </w:num>
  <w:num w:numId="14" w16cid:durableId="640504679">
    <w:abstractNumId w:val="11"/>
  </w:num>
  <w:num w:numId="15" w16cid:durableId="1137604582">
    <w:abstractNumId w:val="19"/>
  </w:num>
  <w:num w:numId="16" w16cid:durableId="1837572377">
    <w:abstractNumId w:val="16"/>
  </w:num>
  <w:num w:numId="17" w16cid:durableId="1227032527">
    <w:abstractNumId w:val="5"/>
  </w:num>
  <w:num w:numId="18" w16cid:durableId="2088726005">
    <w:abstractNumId w:val="21"/>
  </w:num>
  <w:num w:numId="19" w16cid:durableId="253100090">
    <w:abstractNumId w:val="8"/>
  </w:num>
  <w:num w:numId="20" w16cid:durableId="1967079118">
    <w:abstractNumId w:val="9"/>
  </w:num>
  <w:num w:numId="21" w16cid:durableId="1863981241">
    <w:abstractNumId w:val="18"/>
  </w:num>
  <w:num w:numId="22" w16cid:durableId="1730106967">
    <w:abstractNumId w:val="24"/>
  </w:num>
  <w:num w:numId="23" w16cid:durableId="396976640">
    <w:abstractNumId w:val="7"/>
  </w:num>
  <w:num w:numId="24" w16cid:durableId="807167994">
    <w:abstractNumId w:val="12"/>
  </w:num>
  <w:num w:numId="25" w16cid:durableId="10644512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F3"/>
    <w:rsid w:val="00000E94"/>
    <w:rsid w:val="00004A99"/>
    <w:rsid w:val="000175FC"/>
    <w:rsid w:val="00036890"/>
    <w:rsid w:val="00050EBA"/>
    <w:rsid w:val="00053B57"/>
    <w:rsid w:val="000874A5"/>
    <w:rsid w:val="00091751"/>
    <w:rsid w:val="00096B59"/>
    <w:rsid w:val="000A31A6"/>
    <w:rsid w:val="000A3A88"/>
    <w:rsid w:val="000D4317"/>
    <w:rsid w:val="001027C1"/>
    <w:rsid w:val="001151BE"/>
    <w:rsid w:val="0013668A"/>
    <w:rsid w:val="00170D0B"/>
    <w:rsid w:val="00184100"/>
    <w:rsid w:val="001A7B49"/>
    <w:rsid w:val="001A7D18"/>
    <w:rsid w:val="001B7791"/>
    <w:rsid w:val="001C30E5"/>
    <w:rsid w:val="001C64D0"/>
    <w:rsid w:val="001D4E71"/>
    <w:rsid w:val="001F3785"/>
    <w:rsid w:val="001F7CF4"/>
    <w:rsid w:val="002131A3"/>
    <w:rsid w:val="00223556"/>
    <w:rsid w:val="00225AC6"/>
    <w:rsid w:val="00246E94"/>
    <w:rsid w:val="002706CC"/>
    <w:rsid w:val="002A52F9"/>
    <w:rsid w:val="002E3FBA"/>
    <w:rsid w:val="002F4A05"/>
    <w:rsid w:val="00325A33"/>
    <w:rsid w:val="00331254"/>
    <w:rsid w:val="003342D1"/>
    <w:rsid w:val="00336BB6"/>
    <w:rsid w:val="00346A1D"/>
    <w:rsid w:val="00384F13"/>
    <w:rsid w:val="003C5514"/>
    <w:rsid w:val="00402D32"/>
    <w:rsid w:val="00411928"/>
    <w:rsid w:val="00417FF9"/>
    <w:rsid w:val="00425431"/>
    <w:rsid w:val="00437AEA"/>
    <w:rsid w:val="00440AE6"/>
    <w:rsid w:val="004505BF"/>
    <w:rsid w:val="00452ACB"/>
    <w:rsid w:val="00453996"/>
    <w:rsid w:val="00472266"/>
    <w:rsid w:val="00476FA6"/>
    <w:rsid w:val="004923EB"/>
    <w:rsid w:val="004A5B0A"/>
    <w:rsid w:val="004B18E7"/>
    <w:rsid w:val="004C783F"/>
    <w:rsid w:val="004F3BA7"/>
    <w:rsid w:val="004F7DC3"/>
    <w:rsid w:val="00505792"/>
    <w:rsid w:val="005330D2"/>
    <w:rsid w:val="00533582"/>
    <w:rsid w:val="005429D1"/>
    <w:rsid w:val="005915D8"/>
    <w:rsid w:val="005921B6"/>
    <w:rsid w:val="00595C12"/>
    <w:rsid w:val="005A5720"/>
    <w:rsid w:val="005A7C9E"/>
    <w:rsid w:val="005B641A"/>
    <w:rsid w:val="005C505C"/>
    <w:rsid w:val="005C7563"/>
    <w:rsid w:val="005D0B22"/>
    <w:rsid w:val="005D3440"/>
    <w:rsid w:val="005E4534"/>
    <w:rsid w:val="005F66F5"/>
    <w:rsid w:val="005F7747"/>
    <w:rsid w:val="00601FE2"/>
    <w:rsid w:val="006307B4"/>
    <w:rsid w:val="006446F3"/>
    <w:rsid w:val="00662F2A"/>
    <w:rsid w:val="00682AD8"/>
    <w:rsid w:val="00695172"/>
    <w:rsid w:val="006B70EB"/>
    <w:rsid w:val="006E414B"/>
    <w:rsid w:val="00721637"/>
    <w:rsid w:val="007346BB"/>
    <w:rsid w:val="00744C80"/>
    <w:rsid w:val="007566D5"/>
    <w:rsid w:val="00794D13"/>
    <w:rsid w:val="007F497D"/>
    <w:rsid w:val="007F637B"/>
    <w:rsid w:val="008054B4"/>
    <w:rsid w:val="00824EB9"/>
    <w:rsid w:val="008640C8"/>
    <w:rsid w:val="00864FC6"/>
    <w:rsid w:val="00871634"/>
    <w:rsid w:val="008A5A94"/>
    <w:rsid w:val="008B5C3D"/>
    <w:rsid w:val="008C5B5E"/>
    <w:rsid w:val="008C7B8C"/>
    <w:rsid w:val="00906169"/>
    <w:rsid w:val="00906E68"/>
    <w:rsid w:val="00915510"/>
    <w:rsid w:val="00933AD1"/>
    <w:rsid w:val="0099026B"/>
    <w:rsid w:val="009A069B"/>
    <w:rsid w:val="009B4A3B"/>
    <w:rsid w:val="009B5DB3"/>
    <w:rsid w:val="009C017E"/>
    <w:rsid w:val="009D57B7"/>
    <w:rsid w:val="009F08B2"/>
    <w:rsid w:val="00A23795"/>
    <w:rsid w:val="00A411F3"/>
    <w:rsid w:val="00A47DB0"/>
    <w:rsid w:val="00A70641"/>
    <w:rsid w:val="00A71285"/>
    <w:rsid w:val="00AA490B"/>
    <w:rsid w:val="00AB10CD"/>
    <w:rsid w:val="00AC5B4C"/>
    <w:rsid w:val="00AD75F5"/>
    <w:rsid w:val="00AF6E04"/>
    <w:rsid w:val="00B04834"/>
    <w:rsid w:val="00B05DF2"/>
    <w:rsid w:val="00B36109"/>
    <w:rsid w:val="00B60023"/>
    <w:rsid w:val="00B643CC"/>
    <w:rsid w:val="00B71E8C"/>
    <w:rsid w:val="00B83CF9"/>
    <w:rsid w:val="00B908F2"/>
    <w:rsid w:val="00B955C1"/>
    <w:rsid w:val="00BB3B25"/>
    <w:rsid w:val="00BC18B8"/>
    <w:rsid w:val="00BC6BF8"/>
    <w:rsid w:val="00BD36A7"/>
    <w:rsid w:val="00BE5246"/>
    <w:rsid w:val="00C04B44"/>
    <w:rsid w:val="00C06447"/>
    <w:rsid w:val="00C16D9A"/>
    <w:rsid w:val="00C26FA9"/>
    <w:rsid w:val="00C42CBC"/>
    <w:rsid w:val="00C64B36"/>
    <w:rsid w:val="00C73C69"/>
    <w:rsid w:val="00C850E4"/>
    <w:rsid w:val="00CA0C45"/>
    <w:rsid w:val="00CC1CCF"/>
    <w:rsid w:val="00CC32CD"/>
    <w:rsid w:val="00CD7809"/>
    <w:rsid w:val="00CE6B58"/>
    <w:rsid w:val="00D01345"/>
    <w:rsid w:val="00D0271C"/>
    <w:rsid w:val="00D100F3"/>
    <w:rsid w:val="00D20521"/>
    <w:rsid w:val="00D303A5"/>
    <w:rsid w:val="00D63415"/>
    <w:rsid w:val="00D82264"/>
    <w:rsid w:val="00D82A01"/>
    <w:rsid w:val="00D86B1C"/>
    <w:rsid w:val="00DD008E"/>
    <w:rsid w:val="00DD40C6"/>
    <w:rsid w:val="00DF1ABA"/>
    <w:rsid w:val="00E075C0"/>
    <w:rsid w:val="00E07FF3"/>
    <w:rsid w:val="00E22FFA"/>
    <w:rsid w:val="00E23803"/>
    <w:rsid w:val="00E30B25"/>
    <w:rsid w:val="00E47C6C"/>
    <w:rsid w:val="00E62D7D"/>
    <w:rsid w:val="00E70E2F"/>
    <w:rsid w:val="00E91F43"/>
    <w:rsid w:val="00E94657"/>
    <w:rsid w:val="00E9608A"/>
    <w:rsid w:val="00E97174"/>
    <w:rsid w:val="00EA7541"/>
    <w:rsid w:val="00EC3568"/>
    <w:rsid w:val="00EC57DD"/>
    <w:rsid w:val="00EC6880"/>
    <w:rsid w:val="00EC77C3"/>
    <w:rsid w:val="00ED6C5F"/>
    <w:rsid w:val="00EF3538"/>
    <w:rsid w:val="00F03BF1"/>
    <w:rsid w:val="00F2021A"/>
    <w:rsid w:val="00F33945"/>
    <w:rsid w:val="00F563F3"/>
    <w:rsid w:val="00F7401F"/>
    <w:rsid w:val="00FA2757"/>
    <w:rsid w:val="00FC1120"/>
    <w:rsid w:val="00FC76CA"/>
    <w:rsid w:val="00FD0F25"/>
    <w:rsid w:val="00FE6CED"/>
    <w:rsid w:val="00FF05AB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137A"/>
  <w15:chartTrackingRefBased/>
  <w15:docId w15:val="{39B8FD54-B32B-45FC-8753-56ADD91D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FF323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11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FF3232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C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3232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1F3"/>
    <w:rPr>
      <w:rFonts w:asciiTheme="majorHAnsi" w:eastAsiaTheme="majorEastAsia" w:hAnsiTheme="majorHAnsi" w:cstheme="majorBidi"/>
      <w:color w:val="FF3232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411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4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11F3"/>
    <w:rPr>
      <w:color w:val="6B9F25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11F3"/>
    <w:rPr>
      <w:rFonts w:asciiTheme="majorHAnsi" w:eastAsiaTheme="majorEastAsia" w:hAnsiTheme="majorHAnsi" w:cstheme="majorBidi"/>
      <w:color w:val="FF3232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6B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5246"/>
    <w:rPr>
      <w:color w:val="B26B02" w:themeColor="followedHyperlink"/>
      <w:u w:val="single"/>
    </w:rPr>
  </w:style>
  <w:style w:type="paragraph" w:customStyle="1" w:styleId="Default">
    <w:name w:val="Default"/>
    <w:rsid w:val="00004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131A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C5F"/>
    <w:rPr>
      <w:rFonts w:asciiTheme="majorHAnsi" w:eastAsiaTheme="majorEastAsia" w:hAnsiTheme="majorHAnsi" w:cstheme="majorBidi"/>
      <w:i/>
      <w:iCs/>
      <w:color w:val="FF3232" w:themeColor="accent1" w:themeShade="BF"/>
    </w:rPr>
  </w:style>
  <w:style w:type="paragraph" w:styleId="NoSpacing">
    <w:name w:val="No Spacing"/>
    <w:uiPriority w:val="1"/>
    <w:qFormat/>
    <w:rsid w:val="004B18E7"/>
    <w:pPr>
      <w:spacing w:after="0" w:line="240" w:lineRule="auto"/>
    </w:pPr>
    <w:rPr>
      <w:rFonts w:eastAsiaTheme="minorEastAsia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A3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3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3A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A88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ssets.publishing.service.gov.uk/media/5a7cb5b040f0b6629523b52c/GCSE_mathematics_subject_content_and_assessment_objectives.pdf" TargetMode="External"/><Relationship Id="rId18" Type="http://schemas.openxmlformats.org/officeDocument/2006/relationships/hyperlink" Target="http://www.stem.org.uk" TargetMode="External"/><Relationship Id="rId26" Type="http://schemas.openxmlformats.org/officeDocument/2006/relationships/hyperlink" Target="http://www.mathsbot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ma.org.uk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government/uploads/system/uploads/attachment_data/file/1056795/KS3_NonStatutory_Guidance_Sept_2021_FINAL_NCETM.pdf" TargetMode="External"/><Relationship Id="rId17" Type="http://schemas.openxmlformats.org/officeDocument/2006/relationships/hyperlink" Target="http://www.ncetm.org.uk" TargetMode="External"/><Relationship Id="rId25" Type="http://schemas.openxmlformats.org/officeDocument/2006/relationships/hyperlink" Target="http://www.resourceaholic.com" TargetMode="External"/><Relationship Id="rId33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s://www.thenational.academy/" TargetMode="External"/><Relationship Id="rId20" Type="http://schemas.openxmlformats.org/officeDocument/2006/relationships/hyperlink" Target="http://www.m-a.org.uk" TargetMode="External"/><Relationship Id="rId29" Type="http://schemas.openxmlformats.org/officeDocument/2006/relationships/hyperlink" Target="http://www.mrbartonmath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hyperlink" Target="http://www.thenational.academy" TargetMode="External"/><Relationship Id="rId32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hyperlink" Target="http://www.aqa.org.uk" TargetMode="External"/><Relationship Id="rId23" Type="http://schemas.openxmlformats.org/officeDocument/2006/relationships/image" Target="media/image4.png"/><Relationship Id="rId28" Type="http://schemas.openxmlformats.org/officeDocument/2006/relationships/hyperlink" Target="http://www.bossmaths.com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atm.org.uk" TargetMode="External"/><Relationship Id="rId31" Type="http://schemas.openxmlformats.org/officeDocument/2006/relationships/hyperlink" Target="http://www.drfrostmath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edexcel.com" TargetMode="External"/><Relationship Id="rId22" Type="http://schemas.openxmlformats.org/officeDocument/2006/relationships/hyperlink" Target="http://www.chartered.college" TargetMode="External"/><Relationship Id="rId27" Type="http://schemas.openxmlformats.org/officeDocument/2006/relationships/hyperlink" Target="https://polypad.amplify.com/p" TargetMode="External"/><Relationship Id="rId30" Type="http://schemas.openxmlformats.org/officeDocument/2006/relationships/hyperlink" Target="http://www.mathsgenie.co.uk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Theme1">
  <a:themeElements>
    <a:clrScheme name="Custom 2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FF9999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00155045FBB4288260901E9AAF32C" ma:contentTypeVersion="15" ma:contentTypeDescription="Create a new document." ma:contentTypeScope="" ma:versionID="7bef0e76e456cd5aa6ca49e724504dea">
  <xsd:schema xmlns:xsd="http://www.w3.org/2001/XMLSchema" xmlns:xs="http://www.w3.org/2001/XMLSchema" xmlns:p="http://schemas.microsoft.com/office/2006/metadata/properties" xmlns:ns2="6a019fe4-2842-4577-84ed-b717b34f1817" xmlns:ns3="eb02613c-dd9e-4638-8bfb-847ace8c5567" targetNamespace="http://schemas.microsoft.com/office/2006/metadata/properties" ma:root="true" ma:fieldsID="67785d68ea1a0282687d38f430757fac" ns2:_="" ns3:_="">
    <xsd:import namespace="6a019fe4-2842-4577-84ed-b717b34f1817"/>
    <xsd:import namespace="eb02613c-dd9e-4638-8bfb-847ace8c55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9fe4-2842-4577-84ed-b717b34f18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806ea3-b550-45e0-a919-5be03e965dac}" ma:internalName="TaxCatchAll" ma:showField="CatchAllData" ma:web="6a019fe4-2842-4577-84ed-b717b34f1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2613c-dd9e-4638-8bfb-847ace8c5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2613c-dd9e-4638-8bfb-847ace8c5567">
      <Terms xmlns="http://schemas.microsoft.com/office/infopath/2007/PartnerControls"/>
    </lcf76f155ced4ddcb4097134ff3c332f>
    <TaxCatchAll xmlns="6a019fe4-2842-4577-84ed-b717b34f18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3A0E1-D846-4E87-BBCB-668E9D0B5EFD}"/>
</file>

<file path=customXml/itemProps2.xml><?xml version="1.0" encoding="utf-8"?>
<ds:datastoreItem xmlns:ds="http://schemas.openxmlformats.org/officeDocument/2006/customXml" ds:itemID="{57DD6054-F555-469D-B3A8-4C501BE767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4C2EB7-D55E-4E6F-A5B7-470CE6624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FBFC2-41C0-4D49-BED7-0B1A0DA0E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Ford</dc:creator>
  <cp:keywords/>
  <dc:description/>
  <cp:lastModifiedBy>Paul Rowlandson</cp:lastModifiedBy>
  <cp:revision>97</cp:revision>
  <dcterms:created xsi:type="dcterms:W3CDTF">2025-06-06T10:37:00Z</dcterms:created>
  <dcterms:modified xsi:type="dcterms:W3CDTF">2025-06-06T11:52:00Z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0x010100E4700155045FBB4288260901E9AAF32C</vt:lpwstr>
  </property>
</Properties>
</file>