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DE95B" w14:textId="77777777" w:rsidR="00044FC3" w:rsidRPr="00FE0F8B" w:rsidRDefault="00044FC3" w:rsidP="004335EA">
      <w:pPr>
        <w:pStyle w:val="Title"/>
        <w:jc w:val="center"/>
        <w:rPr>
          <w:rFonts w:ascii="Neue Haas Grotesk Text Pro" w:hAnsi="Neue Haas Grotesk Text Pro" w:cs="Calibri"/>
          <w:b/>
          <w:bCs/>
          <w:color w:val="auto"/>
          <w:sz w:val="32"/>
          <w:szCs w:val="32"/>
        </w:rPr>
      </w:pPr>
    </w:p>
    <w:p w14:paraId="22F16562" w14:textId="4EAE26FE" w:rsidR="0087228C" w:rsidRPr="00FE0F8B" w:rsidRDefault="00F6002B" w:rsidP="004335EA">
      <w:pPr>
        <w:pStyle w:val="Title"/>
        <w:jc w:val="center"/>
        <w:rPr>
          <w:rFonts w:ascii="Neue Haas Grotesk Text Pro" w:hAnsi="Neue Haas Grotesk Text Pro" w:cs="Calibri"/>
          <w:b/>
          <w:bCs/>
          <w:color w:val="auto"/>
          <w:sz w:val="32"/>
          <w:szCs w:val="32"/>
        </w:rPr>
      </w:pPr>
      <w:r w:rsidRPr="00FE0F8B">
        <w:rPr>
          <w:rFonts w:ascii="Neue Haas Grotesk Text Pro" w:hAnsi="Neue Haas Grotesk Text Pro" w:cs="Calibri"/>
          <w:b/>
          <w:bCs/>
          <w:color w:val="auto"/>
          <w:sz w:val="32"/>
          <w:szCs w:val="32"/>
        </w:rPr>
        <w:t xml:space="preserve">Research </w:t>
      </w:r>
      <w:r w:rsidR="007105EE" w:rsidRPr="00FE0F8B">
        <w:rPr>
          <w:rFonts w:ascii="Neue Haas Grotesk Text Pro" w:hAnsi="Neue Haas Grotesk Text Pro" w:cs="Calibri"/>
          <w:b/>
          <w:bCs/>
          <w:color w:val="auto"/>
          <w:sz w:val="32"/>
          <w:szCs w:val="32"/>
        </w:rPr>
        <w:t xml:space="preserve">Costing </w:t>
      </w:r>
      <w:r w:rsidRPr="00FE0F8B">
        <w:rPr>
          <w:rFonts w:ascii="Neue Haas Grotesk Text Pro" w:hAnsi="Neue Haas Grotesk Text Pro" w:cs="Calibri"/>
          <w:b/>
          <w:bCs/>
          <w:color w:val="auto"/>
          <w:sz w:val="32"/>
          <w:szCs w:val="32"/>
        </w:rPr>
        <w:t xml:space="preserve">and </w:t>
      </w:r>
      <w:r w:rsidR="007105EE" w:rsidRPr="00FE0F8B">
        <w:rPr>
          <w:rFonts w:ascii="Neue Haas Grotesk Text Pro" w:hAnsi="Neue Haas Grotesk Text Pro" w:cs="Calibri"/>
          <w:b/>
          <w:bCs/>
          <w:color w:val="auto"/>
          <w:sz w:val="32"/>
          <w:szCs w:val="32"/>
        </w:rPr>
        <w:t>Pricing</w:t>
      </w:r>
      <w:r w:rsidRPr="00FE0F8B">
        <w:rPr>
          <w:rFonts w:ascii="Neue Haas Grotesk Text Pro" w:hAnsi="Neue Haas Grotesk Text Pro" w:cs="Calibri"/>
          <w:b/>
          <w:bCs/>
          <w:color w:val="auto"/>
          <w:sz w:val="32"/>
          <w:szCs w:val="32"/>
        </w:rPr>
        <w:t xml:space="preserve"> Policy</w:t>
      </w:r>
    </w:p>
    <w:p w14:paraId="32DFDF0C" w14:textId="77777777" w:rsidR="0087228C" w:rsidRPr="00FE0F8B" w:rsidRDefault="00E612F5" w:rsidP="00C16F61">
      <w:pPr>
        <w:pStyle w:val="Heading1"/>
      </w:pPr>
      <w:r w:rsidRPr="00FE0F8B">
        <w:t>1. Introduction</w:t>
      </w:r>
    </w:p>
    <w:p w14:paraId="6BF35710" w14:textId="3202C4FA" w:rsidR="00E04340" w:rsidRPr="00FE0F8B" w:rsidRDefault="00E612F5" w:rsidP="00E04340">
      <w:pPr>
        <w:rPr>
          <w:rFonts w:cs="Calibri"/>
        </w:rPr>
      </w:pPr>
      <w:r w:rsidRPr="00FE0F8B">
        <w:rPr>
          <w:rFonts w:cs="Calibri"/>
        </w:rPr>
        <w:t xml:space="preserve">This </w:t>
      </w:r>
      <w:r w:rsidR="00E753EB" w:rsidRPr="00FE0F8B">
        <w:rPr>
          <w:rFonts w:cs="Calibri"/>
        </w:rPr>
        <w:t xml:space="preserve">policy sets out Leeds Trinity University’s approach to </w:t>
      </w:r>
      <w:r w:rsidRPr="00FE0F8B">
        <w:rPr>
          <w:rFonts w:cs="Calibri"/>
        </w:rPr>
        <w:t xml:space="preserve">research </w:t>
      </w:r>
      <w:r w:rsidR="00961B1F" w:rsidRPr="00FE0F8B">
        <w:rPr>
          <w:rFonts w:cs="Calibri"/>
        </w:rPr>
        <w:t>costing &amp; pricing</w:t>
      </w:r>
      <w:r w:rsidRPr="00FE0F8B">
        <w:rPr>
          <w:rFonts w:cs="Calibri"/>
        </w:rPr>
        <w:t>, ensuring transparency</w:t>
      </w:r>
      <w:r w:rsidR="001655DA" w:rsidRPr="00FE0F8B">
        <w:rPr>
          <w:rFonts w:cs="Calibri"/>
        </w:rPr>
        <w:t>,</w:t>
      </w:r>
      <w:r w:rsidRPr="00FE0F8B">
        <w:rPr>
          <w:rFonts w:cs="Calibri"/>
        </w:rPr>
        <w:t xml:space="preserve"> consistency</w:t>
      </w:r>
      <w:r w:rsidR="001655DA" w:rsidRPr="00FE0F8B">
        <w:rPr>
          <w:rFonts w:cs="Calibri"/>
        </w:rPr>
        <w:t xml:space="preserve"> and financial sustainability</w:t>
      </w:r>
      <w:r w:rsidR="00961B1F" w:rsidRPr="00FE0F8B">
        <w:rPr>
          <w:rFonts w:cs="Calibri"/>
        </w:rPr>
        <w:t>.</w:t>
      </w:r>
      <w:r w:rsidR="00503088" w:rsidRPr="00FE0F8B">
        <w:rPr>
          <w:rFonts w:cs="Calibri"/>
        </w:rPr>
        <w:t xml:space="preserve"> </w:t>
      </w:r>
      <w:r w:rsidR="00E874E1" w:rsidRPr="00FE0F8B">
        <w:rPr>
          <w:rFonts w:cs="Calibri"/>
        </w:rPr>
        <w:t xml:space="preserve">Guidance on </w:t>
      </w:r>
      <w:r w:rsidR="00503088" w:rsidRPr="00FE0F8B">
        <w:rPr>
          <w:rFonts w:cs="Calibri"/>
        </w:rPr>
        <w:t xml:space="preserve">applying for Research Funding can </w:t>
      </w:r>
      <w:r w:rsidR="00A55E57" w:rsidRPr="00FE0F8B">
        <w:rPr>
          <w:rFonts w:cs="Calibri"/>
        </w:rPr>
        <w:t>be found</w:t>
      </w:r>
      <w:r w:rsidR="00547CBE" w:rsidRPr="00FE0F8B">
        <w:rPr>
          <w:rFonts w:cs="Calibri"/>
        </w:rPr>
        <w:t xml:space="preserve"> separately</w:t>
      </w:r>
      <w:r w:rsidR="00A55E57" w:rsidRPr="00FE0F8B">
        <w:rPr>
          <w:rFonts w:cs="Calibri"/>
        </w:rPr>
        <w:t xml:space="preserve"> on the University Intranet site </w:t>
      </w:r>
      <w:hyperlink r:id="rId8" w:history="1">
        <w:r w:rsidR="00E04340" w:rsidRPr="00FE0F8B">
          <w:rPr>
            <w:rStyle w:val="Hyperlink"/>
            <w:rFonts w:cs="Calibri"/>
            <w:color w:val="auto"/>
          </w:rPr>
          <w:t>Applying for External Funding</w:t>
        </w:r>
      </w:hyperlink>
      <w:r w:rsidR="00E04340" w:rsidRPr="00FE0F8B">
        <w:rPr>
          <w:rFonts w:cs="Calibri"/>
        </w:rPr>
        <w:t>.</w:t>
      </w:r>
    </w:p>
    <w:p w14:paraId="12103BAB" w14:textId="7D12A878" w:rsidR="00FB73E8" w:rsidRPr="00FE0F8B" w:rsidRDefault="00FB73E8" w:rsidP="00E04340">
      <w:pPr>
        <w:rPr>
          <w:rFonts w:cs="Calibri"/>
        </w:rPr>
      </w:pPr>
      <w:r w:rsidRPr="00FE0F8B">
        <w:rPr>
          <w:rFonts w:cs="Calibri"/>
        </w:rPr>
        <w:t xml:space="preserve">All research </w:t>
      </w:r>
      <w:r w:rsidR="00E874E1" w:rsidRPr="00FE0F8B">
        <w:rPr>
          <w:rFonts w:cs="Calibri"/>
        </w:rPr>
        <w:t>projects</w:t>
      </w:r>
      <w:r w:rsidRPr="00FE0F8B">
        <w:rPr>
          <w:rFonts w:cs="Calibri"/>
        </w:rPr>
        <w:t xml:space="preserve"> must be </w:t>
      </w:r>
      <w:r w:rsidR="00550ACF" w:rsidRPr="00FE0F8B">
        <w:rPr>
          <w:rFonts w:cs="Calibri"/>
        </w:rPr>
        <w:t xml:space="preserve">fully costed </w:t>
      </w:r>
      <w:r w:rsidR="00E874E1" w:rsidRPr="00FE0F8B">
        <w:rPr>
          <w:rFonts w:cs="Calibri"/>
        </w:rPr>
        <w:t xml:space="preserve">using </w:t>
      </w:r>
      <w:r w:rsidR="00550ACF" w:rsidRPr="00FE0F8B">
        <w:rPr>
          <w:rFonts w:cs="Calibri"/>
        </w:rPr>
        <w:t xml:space="preserve">the principals of Full </w:t>
      </w:r>
      <w:r w:rsidR="001E7963" w:rsidRPr="00FE0F8B">
        <w:rPr>
          <w:rFonts w:cs="Calibri"/>
        </w:rPr>
        <w:t>Economic</w:t>
      </w:r>
      <w:r w:rsidR="00550ACF" w:rsidRPr="00FE0F8B">
        <w:rPr>
          <w:rFonts w:cs="Calibri"/>
        </w:rPr>
        <w:t xml:space="preserve"> Cost</w:t>
      </w:r>
      <w:r w:rsidR="00224F17" w:rsidRPr="00FE0F8B">
        <w:rPr>
          <w:rFonts w:cs="Calibri"/>
        </w:rPr>
        <w:t>ing</w:t>
      </w:r>
      <w:r w:rsidR="00550ACF" w:rsidRPr="00FE0F8B">
        <w:rPr>
          <w:rFonts w:cs="Calibri"/>
        </w:rPr>
        <w:t xml:space="preserve"> (</w:t>
      </w:r>
      <w:r w:rsidR="00E874E1" w:rsidRPr="00FE0F8B">
        <w:rPr>
          <w:rFonts w:cs="Calibri"/>
        </w:rPr>
        <w:t>section</w:t>
      </w:r>
      <w:r w:rsidR="00550ACF" w:rsidRPr="00FE0F8B">
        <w:rPr>
          <w:rFonts w:cs="Calibri"/>
        </w:rPr>
        <w:t xml:space="preserve"> 2) and priced </w:t>
      </w:r>
      <w:r w:rsidR="000E4CF5" w:rsidRPr="00FE0F8B">
        <w:rPr>
          <w:rFonts w:cs="Calibri"/>
        </w:rPr>
        <w:t xml:space="preserve">in line with </w:t>
      </w:r>
      <w:r w:rsidR="00550ACF" w:rsidRPr="00FE0F8B">
        <w:rPr>
          <w:rFonts w:cs="Calibri"/>
        </w:rPr>
        <w:t xml:space="preserve">funder </w:t>
      </w:r>
      <w:r w:rsidR="007E34F3" w:rsidRPr="00FE0F8B">
        <w:rPr>
          <w:rFonts w:cs="Calibri"/>
        </w:rPr>
        <w:t>scheme rules</w:t>
      </w:r>
      <w:r w:rsidR="00002360" w:rsidRPr="00FE0F8B">
        <w:rPr>
          <w:rFonts w:cs="Calibri"/>
        </w:rPr>
        <w:t xml:space="preserve"> (</w:t>
      </w:r>
      <w:r w:rsidR="000E4CF5" w:rsidRPr="00FE0F8B">
        <w:rPr>
          <w:rFonts w:cs="Calibri"/>
        </w:rPr>
        <w:t>section</w:t>
      </w:r>
      <w:r w:rsidR="00002360" w:rsidRPr="00FE0F8B">
        <w:rPr>
          <w:rFonts w:cs="Calibri"/>
        </w:rPr>
        <w:t xml:space="preserve"> 3)</w:t>
      </w:r>
      <w:r w:rsidR="007E34F3" w:rsidRPr="00FE0F8B">
        <w:rPr>
          <w:rFonts w:cs="Calibri"/>
        </w:rPr>
        <w:t xml:space="preserve">. It is important </w:t>
      </w:r>
      <w:r w:rsidR="00E005CD" w:rsidRPr="00FE0F8B">
        <w:rPr>
          <w:rFonts w:cs="Calibri"/>
        </w:rPr>
        <w:t xml:space="preserve">to start your costing as early as possible </w:t>
      </w:r>
      <w:r w:rsidR="00DE6A9D" w:rsidRPr="00FE0F8B">
        <w:rPr>
          <w:rFonts w:cs="Calibri"/>
        </w:rPr>
        <w:t xml:space="preserve">as this may impact the scope of the project. </w:t>
      </w:r>
    </w:p>
    <w:p w14:paraId="357F8631" w14:textId="77777777" w:rsidR="0087228C" w:rsidRPr="00FE0F8B" w:rsidRDefault="00E612F5" w:rsidP="00C16F61">
      <w:pPr>
        <w:pStyle w:val="Heading1"/>
      </w:pPr>
      <w:r w:rsidRPr="00FE0F8B">
        <w:t>2. Full Economic Costing (FEC)</w:t>
      </w:r>
    </w:p>
    <w:p w14:paraId="4F8EC801" w14:textId="05485DA4" w:rsidR="00BF6819" w:rsidRPr="00FE0F8B" w:rsidRDefault="00BF6819" w:rsidP="00BE3215">
      <w:pPr>
        <w:rPr>
          <w:rFonts w:cs="Calibri"/>
        </w:rPr>
      </w:pPr>
      <w:r w:rsidRPr="00FE0F8B">
        <w:rPr>
          <w:rFonts w:cs="Calibri"/>
        </w:rPr>
        <w:t>Full Economic Costing</w:t>
      </w:r>
      <w:r w:rsidR="0085593A" w:rsidRPr="00FE0F8B">
        <w:rPr>
          <w:rFonts w:cs="Calibri"/>
        </w:rPr>
        <w:t xml:space="preserve"> is a standard costing methodology used across the </w:t>
      </w:r>
      <w:r w:rsidR="008A7BA0" w:rsidRPr="00FE0F8B">
        <w:rPr>
          <w:rFonts w:cs="Calibri"/>
        </w:rPr>
        <w:t xml:space="preserve">UK </w:t>
      </w:r>
      <w:r w:rsidR="0085593A" w:rsidRPr="00FE0F8B">
        <w:rPr>
          <w:rFonts w:cs="Calibri"/>
        </w:rPr>
        <w:t>HE Sector</w:t>
      </w:r>
      <w:r w:rsidR="008C575F" w:rsidRPr="00FE0F8B">
        <w:rPr>
          <w:rFonts w:cs="Calibri"/>
        </w:rPr>
        <w:t xml:space="preserve"> for production of</w:t>
      </w:r>
      <w:r w:rsidR="00A67486" w:rsidRPr="00FE0F8B">
        <w:rPr>
          <w:rFonts w:cs="Calibri"/>
        </w:rPr>
        <w:t xml:space="preserve"> </w:t>
      </w:r>
      <w:r w:rsidR="00123D30" w:rsidRPr="00FE0F8B">
        <w:rPr>
          <w:rFonts w:cs="Calibri"/>
        </w:rPr>
        <w:t>consistent</w:t>
      </w:r>
      <w:r w:rsidR="00A67486" w:rsidRPr="00FE0F8B">
        <w:rPr>
          <w:rFonts w:cs="Calibri"/>
        </w:rPr>
        <w:t xml:space="preserve"> and transparent </w:t>
      </w:r>
      <w:r w:rsidR="008C575F" w:rsidRPr="00FE0F8B">
        <w:rPr>
          <w:rFonts w:cs="Calibri"/>
        </w:rPr>
        <w:t xml:space="preserve">research project </w:t>
      </w:r>
      <w:r w:rsidR="00A67486" w:rsidRPr="00FE0F8B">
        <w:rPr>
          <w:rFonts w:cs="Calibri"/>
        </w:rPr>
        <w:t>cost</w:t>
      </w:r>
      <w:r w:rsidR="008C575F" w:rsidRPr="00FE0F8B">
        <w:rPr>
          <w:rFonts w:cs="Calibri"/>
        </w:rPr>
        <w:t>s</w:t>
      </w:r>
      <w:r w:rsidR="00D70365" w:rsidRPr="00FE0F8B">
        <w:rPr>
          <w:rFonts w:cs="Calibri"/>
        </w:rPr>
        <w:t xml:space="preserve">. It </w:t>
      </w:r>
      <w:r w:rsidR="00E91868" w:rsidRPr="00FE0F8B">
        <w:rPr>
          <w:rFonts w:cs="Calibri"/>
        </w:rPr>
        <w:t>reflect</w:t>
      </w:r>
      <w:r w:rsidR="00D70365" w:rsidRPr="00FE0F8B">
        <w:rPr>
          <w:rFonts w:cs="Calibri"/>
        </w:rPr>
        <w:t>s</w:t>
      </w:r>
      <w:r w:rsidR="00E91868" w:rsidRPr="00FE0F8B">
        <w:rPr>
          <w:rFonts w:cs="Calibri"/>
        </w:rPr>
        <w:t xml:space="preserve"> the </w:t>
      </w:r>
      <w:r w:rsidR="00FC2760" w:rsidRPr="00FE0F8B">
        <w:rPr>
          <w:rFonts w:cs="Calibri"/>
        </w:rPr>
        <w:t>true</w:t>
      </w:r>
      <w:r w:rsidR="00E91868" w:rsidRPr="00FE0F8B">
        <w:rPr>
          <w:rFonts w:cs="Calibri"/>
        </w:rPr>
        <w:t xml:space="preserve"> cost to the University of </w:t>
      </w:r>
      <w:r w:rsidR="00080837" w:rsidRPr="00FE0F8B">
        <w:rPr>
          <w:rFonts w:cs="Calibri"/>
        </w:rPr>
        <w:t>delivering</w:t>
      </w:r>
      <w:r w:rsidR="00E91868" w:rsidRPr="00FE0F8B">
        <w:rPr>
          <w:rFonts w:cs="Calibri"/>
        </w:rPr>
        <w:t xml:space="preserve"> the research activity</w:t>
      </w:r>
      <w:r w:rsidR="00D70365" w:rsidRPr="00FE0F8B">
        <w:rPr>
          <w:rFonts w:cs="Calibri"/>
        </w:rPr>
        <w:t xml:space="preserve"> and </w:t>
      </w:r>
      <w:r w:rsidR="004E6CB2" w:rsidRPr="00FE0F8B">
        <w:rPr>
          <w:rFonts w:cs="Calibri"/>
        </w:rPr>
        <w:t>consist</w:t>
      </w:r>
      <w:r w:rsidR="00157CE8" w:rsidRPr="00FE0F8B">
        <w:rPr>
          <w:rFonts w:cs="Calibri"/>
        </w:rPr>
        <w:t>s</w:t>
      </w:r>
      <w:r w:rsidR="004E6CB2" w:rsidRPr="00FE0F8B">
        <w:rPr>
          <w:rFonts w:cs="Calibri"/>
        </w:rPr>
        <w:t xml:space="preserve"> of four main cost categories: </w:t>
      </w:r>
    </w:p>
    <w:p w14:paraId="16B94AC6" w14:textId="6AB350E4" w:rsidR="00EE4C29" w:rsidRPr="00FE0F8B" w:rsidRDefault="00EE4C29" w:rsidP="00EE4C29">
      <w:pPr>
        <w:pStyle w:val="ListBullet"/>
        <w:rPr>
          <w:rFonts w:cs="Calibri"/>
        </w:rPr>
      </w:pPr>
      <w:r w:rsidRPr="00FE0F8B">
        <w:rPr>
          <w:rFonts w:cs="Calibri"/>
        </w:rPr>
        <w:t>Direct</w:t>
      </w:r>
      <w:r w:rsidR="00157CE8" w:rsidRPr="00FE0F8B">
        <w:rPr>
          <w:rFonts w:cs="Calibri"/>
        </w:rPr>
        <w:t>ly</w:t>
      </w:r>
      <w:r w:rsidRPr="00FE0F8B">
        <w:rPr>
          <w:rFonts w:cs="Calibri"/>
        </w:rPr>
        <w:t xml:space="preserve"> </w:t>
      </w:r>
      <w:r w:rsidR="00B50C02" w:rsidRPr="00FE0F8B">
        <w:rPr>
          <w:rFonts w:cs="Calibri"/>
        </w:rPr>
        <w:t xml:space="preserve">Allocated </w:t>
      </w:r>
      <w:r w:rsidRPr="00FE0F8B">
        <w:rPr>
          <w:rFonts w:cs="Calibri"/>
        </w:rPr>
        <w:t xml:space="preserve">Costs: </w:t>
      </w:r>
      <w:r w:rsidR="00FA79AB" w:rsidRPr="00FE0F8B">
        <w:rPr>
          <w:rFonts w:cs="Calibri"/>
        </w:rPr>
        <w:t>These are existing costs to the University</w:t>
      </w:r>
      <w:r w:rsidR="00A67BC8" w:rsidRPr="00FE0F8B">
        <w:rPr>
          <w:rFonts w:cs="Calibri"/>
        </w:rPr>
        <w:t xml:space="preserve"> which can be allocated to the project, this is normally </w:t>
      </w:r>
      <w:r w:rsidR="00157CE8" w:rsidRPr="00FE0F8B">
        <w:rPr>
          <w:rFonts w:cs="Calibri"/>
        </w:rPr>
        <w:t xml:space="preserve">a </w:t>
      </w:r>
      <w:r w:rsidR="00A67BC8" w:rsidRPr="00FE0F8B">
        <w:rPr>
          <w:rFonts w:cs="Calibri"/>
        </w:rPr>
        <w:t xml:space="preserve">PI and </w:t>
      </w:r>
      <w:r w:rsidR="00157CE8" w:rsidRPr="00FE0F8B">
        <w:rPr>
          <w:rFonts w:cs="Calibri"/>
        </w:rPr>
        <w:t>Co-Is.</w:t>
      </w:r>
    </w:p>
    <w:p w14:paraId="1C7967D8" w14:textId="3AD6C55A" w:rsidR="00B50C02" w:rsidRPr="00FE0F8B" w:rsidRDefault="00B50C02" w:rsidP="00EE4C29">
      <w:pPr>
        <w:pStyle w:val="ListBullet"/>
        <w:rPr>
          <w:rFonts w:cs="Calibri"/>
        </w:rPr>
      </w:pPr>
      <w:r w:rsidRPr="00FE0F8B">
        <w:rPr>
          <w:rFonts w:cs="Calibri"/>
        </w:rPr>
        <w:t>Directly Incurred Costs</w:t>
      </w:r>
      <w:r w:rsidR="00F4035A" w:rsidRPr="00FE0F8B">
        <w:rPr>
          <w:rFonts w:cs="Calibri"/>
        </w:rPr>
        <w:t xml:space="preserve">: These are new costs </w:t>
      </w:r>
      <w:r w:rsidR="00B05FE3" w:rsidRPr="00FE0F8B">
        <w:rPr>
          <w:rFonts w:cs="Calibri"/>
        </w:rPr>
        <w:t>incurred by</w:t>
      </w:r>
      <w:r w:rsidR="00F4035A" w:rsidRPr="00FE0F8B">
        <w:rPr>
          <w:rFonts w:cs="Calibri"/>
        </w:rPr>
        <w:t xml:space="preserve"> the University</w:t>
      </w:r>
      <w:r w:rsidR="002C1431" w:rsidRPr="00FE0F8B">
        <w:rPr>
          <w:rFonts w:cs="Calibri"/>
        </w:rPr>
        <w:t xml:space="preserve"> solely related to the proposed research project</w:t>
      </w:r>
      <w:r w:rsidR="00FA79AB" w:rsidRPr="00FE0F8B">
        <w:rPr>
          <w:rFonts w:cs="Calibri"/>
        </w:rPr>
        <w:t>, this can be staffing</w:t>
      </w:r>
      <w:r w:rsidR="00706D6B" w:rsidRPr="00FE0F8B">
        <w:rPr>
          <w:rFonts w:cs="Calibri"/>
        </w:rPr>
        <w:t>, equipment, travel or other costs</w:t>
      </w:r>
      <w:r w:rsidR="00D94616" w:rsidRPr="00FE0F8B">
        <w:rPr>
          <w:rFonts w:cs="Calibri"/>
        </w:rPr>
        <w:t xml:space="preserve"> (such as consumables)</w:t>
      </w:r>
      <w:r w:rsidR="00706D6B" w:rsidRPr="00FE0F8B">
        <w:rPr>
          <w:rFonts w:cs="Calibri"/>
        </w:rPr>
        <w:t>.</w:t>
      </w:r>
    </w:p>
    <w:p w14:paraId="006F40DF" w14:textId="22B4CE36" w:rsidR="00F4035A" w:rsidRPr="00FE0F8B" w:rsidRDefault="00F4035A" w:rsidP="00F4035A">
      <w:pPr>
        <w:pStyle w:val="ListBullet"/>
        <w:rPr>
          <w:rFonts w:cs="Calibri"/>
        </w:rPr>
      </w:pPr>
      <w:r w:rsidRPr="00FE0F8B">
        <w:rPr>
          <w:rFonts w:cs="Calibri"/>
        </w:rPr>
        <w:t xml:space="preserve">Estates Costs: </w:t>
      </w:r>
      <w:r w:rsidR="008F3398" w:rsidRPr="00FE0F8B">
        <w:rPr>
          <w:rFonts w:cs="Calibri"/>
        </w:rPr>
        <w:t>These are c</w:t>
      </w:r>
      <w:r w:rsidRPr="00FE0F8B">
        <w:rPr>
          <w:rFonts w:cs="Calibri"/>
        </w:rPr>
        <w:t xml:space="preserve">osts related to the use of university buildings and facilities </w:t>
      </w:r>
      <w:r w:rsidR="00926218" w:rsidRPr="00FE0F8B">
        <w:rPr>
          <w:rFonts w:cs="Calibri"/>
        </w:rPr>
        <w:t xml:space="preserve">and </w:t>
      </w:r>
      <w:r w:rsidRPr="00FE0F8B">
        <w:rPr>
          <w:rFonts w:cs="Calibri"/>
        </w:rPr>
        <w:t>are allocated proportionally by FTE.</w:t>
      </w:r>
    </w:p>
    <w:p w14:paraId="5D765E54" w14:textId="1B8E963C" w:rsidR="00EE4C29" w:rsidRPr="00FE0F8B" w:rsidRDefault="00EE4C29" w:rsidP="00EE4C29">
      <w:pPr>
        <w:pStyle w:val="ListBullet"/>
        <w:rPr>
          <w:rFonts w:cs="Calibri"/>
        </w:rPr>
      </w:pPr>
      <w:r w:rsidRPr="00FE0F8B">
        <w:rPr>
          <w:rFonts w:cs="Calibri"/>
        </w:rPr>
        <w:t xml:space="preserve">Indirect Costs: </w:t>
      </w:r>
      <w:r w:rsidR="008F3398" w:rsidRPr="00FE0F8B">
        <w:rPr>
          <w:rFonts w:cs="Calibri"/>
        </w:rPr>
        <w:t>These are o</w:t>
      </w:r>
      <w:r w:rsidRPr="00FE0F8B">
        <w:rPr>
          <w:rFonts w:cs="Calibri"/>
        </w:rPr>
        <w:t>verheads such as administrative support</w:t>
      </w:r>
      <w:r w:rsidR="00253133" w:rsidRPr="00FE0F8B">
        <w:rPr>
          <w:rFonts w:cs="Calibri"/>
        </w:rPr>
        <w:t xml:space="preserve"> and</w:t>
      </w:r>
      <w:r w:rsidR="008F3398" w:rsidRPr="00FE0F8B">
        <w:rPr>
          <w:rFonts w:cs="Calibri"/>
        </w:rPr>
        <w:t xml:space="preserve"> </w:t>
      </w:r>
      <w:r w:rsidRPr="00FE0F8B">
        <w:rPr>
          <w:rFonts w:cs="Calibri"/>
        </w:rPr>
        <w:t xml:space="preserve">are allocated </w:t>
      </w:r>
      <w:r w:rsidR="002C1431" w:rsidRPr="00FE0F8B">
        <w:rPr>
          <w:rFonts w:cs="Calibri"/>
        </w:rPr>
        <w:t>by FTE</w:t>
      </w:r>
      <w:r w:rsidRPr="00FE0F8B">
        <w:rPr>
          <w:rFonts w:cs="Calibri"/>
        </w:rPr>
        <w:t>.</w:t>
      </w:r>
    </w:p>
    <w:p w14:paraId="51BB5D87" w14:textId="77777777" w:rsidR="005D0F48" w:rsidRPr="00FE0F8B" w:rsidRDefault="005D0F48" w:rsidP="002C3F48">
      <w:pPr>
        <w:pStyle w:val="ListBullet"/>
        <w:numPr>
          <w:ilvl w:val="0"/>
          <w:numId w:val="0"/>
        </w:numPr>
        <w:ind w:left="360"/>
        <w:rPr>
          <w:rFonts w:cs="Calibri"/>
        </w:rPr>
      </w:pPr>
    </w:p>
    <w:p w14:paraId="0D019816" w14:textId="4E4006EF" w:rsidR="005D0F48" w:rsidRPr="00FE0F8B" w:rsidRDefault="005D0F48" w:rsidP="005D0F48">
      <w:pPr>
        <w:pStyle w:val="ListBullet"/>
        <w:numPr>
          <w:ilvl w:val="0"/>
          <w:numId w:val="0"/>
        </w:numPr>
        <w:rPr>
          <w:rFonts w:cs="Calibri"/>
        </w:rPr>
      </w:pPr>
      <w:r w:rsidRPr="00FE0F8B">
        <w:rPr>
          <w:rFonts w:cs="Calibri"/>
        </w:rPr>
        <w:t xml:space="preserve">The Estates and Indirect cost rates are </w:t>
      </w:r>
      <w:r w:rsidR="002C3F48" w:rsidRPr="00FE0F8B">
        <w:rPr>
          <w:rFonts w:cs="Calibri"/>
        </w:rPr>
        <w:t xml:space="preserve">calculated annually using the TRAC methodology. </w:t>
      </w:r>
    </w:p>
    <w:p w14:paraId="3DF8996B" w14:textId="77777777" w:rsidR="004E6CB2" w:rsidRPr="00FE0F8B" w:rsidRDefault="004E6CB2" w:rsidP="004E6CB2">
      <w:pPr>
        <w:pStyle w:val="ListBullet"/>
        <w:numPr>
          <w:ilvl w:val="0"/>
          <w:numId w:val="0"/>
        </w:numPr>
        <w:ind w:left="360" w:hanging="360"/>
        <w:rPr>
          <w:rFonts w:cs="Calibri"/>
        </w:rPr>
      </w:pPr>
    </w:p>
    <w:p w14:paraId="183FFCCE" w14:textId="7057501D" w:rsidR="00784AD7" w:rsidRDefault="004E6CB2" w:rsidP="004E6CB2">
      <w:pPr>
        <w:pStyle w:val="ListBullet"/>
        <w:numPr>
          <w:ilvl w:val="0"/>
          <w:numId w:val="0"/>
        </w:numPr>
        <w:rPr>
          <w:rFonts w:cs="Calibri"/>
        </w:rPr>
      </w:pPr>
      <w:r w:rsidRPr="00FE0F8B">
        <w:rPr>
          <w:rFonts w:cs="Calibri"/>
        </w:rPr>
        <w:t xml:space="preserve">It is key to note that overheads (Estates and </w:t>
      </w:r>
      <w:proofErr w:type="spellStart"/>
      <w:r w:rsidRPr="00FE0F8B">
        <w:rPr>
          <w:rFonts w:cs="Calibri"/>
        </w:rPr>
        <w:t>Indirects</w:t>
      </w:r>
      <w:proofErr w:type="spellEnd"/>
      <w:r w:rsidRPr="00FE0F8B">
        <w:rPr>
          <w:rFonts w:cs="Calibri"/>
        </w:rPr>
        <w:t xml:space="preserve">) do not represent a ‘profit’ on the </w:t>
      </w:r>
      <w:proofErr w:type="gramStart"/>
      <w:r w:rsidRPr="00FE0F8B">
        <w:rPr>
          <w:rFonts w:cs="Calibri"/>
        </w:rPr>
        <w:t>project, but</w:t>
      </w:r>
      <w:proofErr w:type="gramEnd"/>
      <w:r w:rsidRPr="00FE0F8B">
        <w:rPr>
          <w:rFonts w:cs="Calibri"/>
        </w:rPr>
        <w:t xml:space="preserve"> represents the total amount necessary to recover the actual cost of undertaking the </w:t>
      </w:r>
      <w:r w:rsidR="003573E3" w:rsidRPr="00FE0F8B">
        <w:rPr>
          <w:rFonts w:cs="Calibri"/>
        </w:rPr>
        <w:t xml:space="preserve">research </w:t>
      </w:r>
      <w:r w:rsidRPr="00FE0F8B">
        <w:rPr>
          <w:rFonts w:cs="Calibri"/>
        </w:rPr>
        <w:t>activity.</w:t>
      </w:r>
    </w:p>
    <w:p w14:paraId="60A95867" w14:textId="77777777" w:rsidR="00784AD7" w:rsidRDefault="00784AD7">
      <w:pPr>
        <w:rPr>
          <w:rFonts w:cs="Calibri"/>
        </w:rPr>
      </w:pPr>
      <w:r>
        <w:rPr>
          <w:rFonts w:cs="Calibri"/>
        </w:rPr>
        <w:br w:type="page"/>
      </w:r>
    </w:p>
    <w:p w14:paraId="68E9E732" w14:textId="77777777" w:rsidR="004E6CB2" w:rsidRPr="00FE0F8B" w:rsidRDefault="004E6CB2" w:rsidP="004E6CB2">
      <w:pPr>
        <w:pStyle w:val="ListBullet"/>
        <w:numPr>
          <w:ilvl w:val="0"/>
          <w:numId w:val="0"/>
        </w:numPr>
        <w:rPr>
          <w:rFonts w:cs="Calibri"/>
        </w:rPr>
      </w:pPr>
    </w:p>
    <w:p w14:paraId="1AC8FF3F" w14:textId="47FFDDA0" w:rsidR="003573E3" w:rsidRPr="00FE0F8B" w:rsidRDefault="003573E3" w:rsidP="00C16F61">
      <w:pPr>
        <w:pStyle w:val="Heading1"/>
      </w:pPr>
      <w:r w:rsidRPr="00FE0F8B">
        <w:t xml:space="preserve">3. Pricing for Specific </w:t>
      </w:r>
      <w:r w:rsidR="00E57CA5" w:rsidRPr="00FE0F8B">
        <w:t xml:space="preserve">Research </w:t>
      </w:r>
      <w:r w:rsidRPr="00FE0F8B">
        <w:t>Funding Providers</w:t>
      </w:r>
    </w:p>
    <w:p w14:paraId="00AA330A" w14:textId="791777B3" w:rsidR="003573E3" w:rsidRPr="00FE0F8B" w:rsidRDefault="003573E3" w:rsidP="003573E3">
      <w:pPr>
        <w:rPr>
          <w:rFonts w:cstheme="majorHAnsi"/>
        </w:rPr>
      </w:pPr>
      <w:r w:rsidRPr="00FE0F8B">
        <w:rPr>
          <w:rFonts w:cstheme="majorHAnsi"/>
        </w:rPr>
        <w:t>Specific Funders set their own Pricing Schemes which need to be adhered to when submitting research applications.</w:t>
      </w:r>
    </w:p>
    <w:p w14:paraId="681851E3" w14:textId="1C7434F5" w:rsidR="003573E3" w:rsidRPr="00FE0F8B" w:rsidRDefault="00C42FF5" w:rsidP="00BA5169">
      <w:pPr>
        <w:pStyle w:val="ListBullet"/>
        <w:numPr>
          <w:ilvl w:val="0"/>
          <w:numId w:val="0"/>
        </w:numPr>
        <w:rPr>
          <w:rFonts w:cstheme="majorHAnsi"/>
        </w:rPr>
      </w:pPr>
      <w:r w:rsidRPr="00FE0F8B">
        <w:rPr>
          <w:rFonts w:cstheme="majorHAnsi"/>
        </w:rPr>
        <w:t xml:space="preserve">UKRI - </w:t>
      </w:r>
      <w:r w:rsidR="00A820C4" w:rsidRPr="00FE0F8B">
        <w:rPr>
          <w:rFonts w:cstheme="majorHAnsi"/>
        </w:rPr>
        <w:t>T</w:t>
      </w:r>
      <w:r w:rsidR="003573E3" w:rsidRPr="00FE0F8B">
        <w:rPr>
          <w:rFonts w:cstheme="majorHAnsi"/>
        </w:rPr>
        <w:t>ypically cover 80% FEC of a project. The remaining 20% must be covered by the university or other sources.</w:t>
      </w:r>
    </w:p>
    <w:p w14:paraId="2A18A290" w14:textId="77777777" w:rsidR="00C42FF5" w:rsidRPr="00FE0F8B" w:rsidRDefault="00C42FF5" w:rsidP="00BA5169">
      <w:pPr>
        <w:pStyle w:val="ListBullet"/>
        <w:numPr>
          <w:ilvl w:val="0"/>
          <w:numId w:val="0"/>
        </w:numPr>
        <w:rPr>
          <w:rFonts w:cstheme="majorHAnsi"/>
        </w:rPr>
      </w:pPr>
    </w:p>
    <w:p w14:paraId="569F89D7" w14:textId="324AC740" w:rsidR="003573E3" w:rsidRPr="00FE0F8B" w:rsidRDefault="00C42FF5" w:rsidP="00BA5169">
      <w:pPr>
        <w:pStyle w:val="ListBullet"/>
        <w:numPr>
          <w:ilvl w:val="0"/>
          <w:numId w:val="0"/>
        </w:numPr>
        <w:rPr>
          <w:rFonts w:cstheme="majorHAnsi"/>
        </w:rPr>
      </w:pPr>
      <w:r w:rsidRPr="00FE0F8B">
        <w:rPr>
          <w:rFonts w:cstheme="majorHAnsi"/>
        </w:rPr>
        <w:t xml:space="preserve">Charities - </w:t>
      </w:r>
      <w:r w:rsidR="003573E3" w:rsidRPr="00FE0F8B">
        <w:rPr>
          <w:rFonts w:cstheme="majorHAnsi"/>
        </w:rPr>
        <w:t xml:space="preserve">Many charities </w:t>
      </w:r>
      <w:r w:rsidR="0040751D" w:rsidRPr="00FE0F8B">
        <w:rPr>
          <w:rFonts w:cstheme="majorHAnsi"/>
        </w:rPr>
        <w:t xml:space="preserve">cover 100% Direct Costs </w:t>
      </w:r>
      <w:proofErr w:type="gramStart"/>
      <w:r w:rsidR="0040751D" w:rsidRPr="00FE0F8B">
        <w:rPr>
          <w:rFonts w:cstheme="majorHAnsi"/>
        </w:rPr>
        <w:t>Only,</w:t>
      </w:r>
      <w:proofErr w:type="gramEnd"/>
      <w:r w:rsidR="0040751D" w:rsidRPr="00FE0F8B">
        <w:rPr>
          <w:rFonts w:cstheme="majorHAnsi"/>
        </w:rPr>
        <w:t xml:space="preserve"> they </w:t>
      </w:r>
      <w:r w:rsidR="003573E3" w:rsidRPr="00FE0F8B">
        <w:rPr>
          <w:rFonts w:cstheme="majorHAnsi"/>
        </w:rPr>
        <w:t xml:space="preserve">do not </w:t>
      </w:r>
      <w:r w:rsidR="00D7377E" w:rsidRPr="00FE0F8B">
        <w:rPr>
          <w:rFonts w:cstheme="majorHAnsi"/>
        </w:rPr>
        <w:t xml:space="preserve">contribute to DA costs or overheads. </w:t>
      </w:r>
      <w:r w:rsidR="003573E3" w:rsidRPr="00FE0F8B">
        <w:rPr>
          <w:rFonts w:cstheme="majorHAnsi"/>
        </w:rPr>
        <w:t>It is</w:t>
      </w:r>
      <w:r w:rsidR="00BA5169" w:rsidRPr="00FE0F8B">
        <w:rPr>
          <w:rFonts w:cstheme="majorHAnsi"/>
        </w:rPr>
        <w:t xml:space="preserve"> </w:t>
      </w:r>
      <w:r w:rsidR="003573E3" w:rsidRPr="00FE0F8B">
        <w:rPr>
          <w:rFonts w:cstheme="majorHAnsi"/>
        </w:rPr>
        <w:t xml:space="preserve">important to understand each </w:t>
      </w:r>
      <w:r w:rsidR="0022311E" w:rsidRPr="00FE0F8B">
        <w:rPr>
          <w:rFonts w:cstheme="majorHAnsi"/>
        </w:rPr>
        <w:t xml:space="preserve">individual </w:t>
      </w:r>
      <w:r w:rsidR="003573E3" w:rsidRPr="00FE0F8B">
        <w:rPr>
          <w:rFonts w:cstheme="majorHAnsi"/>
        </w:rPr>
        <w:t>charity's funding rules and plan accordingly.</w:t>
      </w:r>
    </w:p>
    <w:p w14:paraId="7CC9A295" w14:textId="77777777" w:rsidR="00A820C4" w:rsidRPr="00FE0F8B" w:rsidRDefault="00A820C4" w:rsidP="00BA5169">
      <w:pPr>
        <w:pStyle w:val="ListBullet"/>
        <w:numPr>
          <w:ilvl w:val="0"/>
          <w:numId w:val="0"/>
        </w:numPr>
        <w:rPr>
          <w:rFonts w:cstheme="majorHAnsi"/>
        </w:rPr>
      </w:pPr>
    </w:p>
    <w:p w14:paraId="2911BCBA" w14:textId="5A00D471" w:rsidR="003573E3" w:rsidRPr="00FE0F8B" w:rsidRDefault="003573E3" w:rsidP="00BA5169">
      <w:pPr>
        <w:pStyle w:val="ListBullet"/>
        <w:numPr>
          <w:ilvl w:val="0"/>
          <w:numId w:val="0"/>
        </w:numPr>
        <w:rPr>
          <w:rFonts w:cstheme="majorHAnsi"/>
        </w:rPr>
      </w:pPr>
      <w:r w:rsidRPr="00FE0F8B">
        <w:rPr>
          <w:rFonts w:cstheme="majorHAnsi"/>
        </w:rPr>
        <w:t xml:space="preserve">British Academy </w:t>
      </w:r>
      <w:r w:rsidR="00A820C4" w:rsidRPr="00FE0F8B">
        <w:rPr>
          <w:rFonts w:cstheme="majorHAnsi"/>
        </w:rPr>
        <w:t>- G</w:t>
      </w:r>
      <w:r w:rsidRPr="00FE0F8B">
        <w:rPr>
          <w:rFonts w:cstheme="majorHAnsi"/>
        </w:rPr>
        <w:t xml:space="preserve">rants typically cover the direct </w:t>
      </w:r>
      <w:r w:rsidR="007C4547" w:rsidRPr="00FE0F8B">
        <w:rPr>
          <w:rFonts w:cstheme="majorHAnsi"/>
        </w:rPr>
        <w:t xml:space="preserve">incurred </w:t>
      </w:r>
      <w:r w:rsidRPr="00FE0F8B">
        <w:rPr>
          <w:rFonts w:cstheme="majorHAnsi"/>
        </w:rPr>
        <w:t>costs of research projects, including salaries, travel, and consumables.</w:t>
      </w:r>
      <w:r w:rsidR="000F71FD" w:rsidRPr="00FE0F8B">
        <w:rPr>
          <w:rFonts w:cstheme="majorHAnsi"/>
        </w:rPr>
        <w:t xml:space="preserve"> They do not cover overheads.</w:t>
      </w:r>
    </w:p>
    <w:p w14:paraId="69555EC7" w14:textId="77777777" w:rsidR="00A820C4" w:rsidRPr="00FE0F8B" w:rsidRDefault="00A820C4" w:rsidP="009615DB">
      <w:pPr>
        <w:pStyle w:val="ListBullet"/>
        <w:numPr>
          <w:ilvl w:val="0"/>
          <w:numId w:val="0"/>
        </w:numPr>
        <w:rPr>
          <w:rFonts w:cstheme="majorHAnsi"/>
        </w:rPr>
      </w:pPr>
    </w:p>
    <w:p w14:paraId="15A6F0D9" w14:textId="48DD6CDD" w:rsidR="003573E3" w:rsidRPr="00FE0F8B" w:rsidRDefault="003573E3" w:rsidP="009615DB">
      <w:pPr>
        <w:pStyle w:val="ListBullet"/>
        <w:numPr>
          <w:ilvl w:val="0"/>
          <w:numId w:val="0"/>
        </w:numPr>
        <w:rPr>
          <w:rFonts w:cstheme="majorHAnsi"/>
        </w:rPr>
      </w:pPr>
      <w:proofErr w:type="spellStart"/>
      <w:r w:rsidRPr="00FE0F8B">
        <w:rPr>
          <w:rFonts w:cstheme="majorHAnsi"/>
        </w:rPr>
        <w:t>Wellcome</w:t>
      </w:r>
      <w:proofErr w:type="spellEnd"/>
      <w:r w:rsidRPr="00FE0F8B">
        <w:rPr>
          <w:rFonts w:cstheme="majorHAnsi"/>
        </w:rPr>
        <w:t xml:space="preserve"> Trust </w:t>
      </w:r>
      <w:r w:rsidR="00A820C4" w:rsidRPr="00FE0F8B">
        <w:rPr>
          <w:rFonts w:cstheme="majorHAnsi"/>
        </w:rPr>
        <w:t>- G</w:t>
      </w:r>
      <w:r w:rsidRPr="00FE0F8B">
        <w:rPr>
          <w:rFonts w:cstheme="majorHAnsi"/>
        </w:rPr>
        <w:t>rants may cover both direct and indirect costs, but it is essential to review the specific funding call for details.</w:t>
      </w:r>
    </w:p>
    <w:p w14:paraId="1A29136F" w14:textId="77777777" w:rsidR="00A820C4" w:rsidRPr="00FE0F8B" w:rsidRDefault="00A820C4" w:rsidP="009615DB">
      <w:pPr>
        <w:pStyle w:val="ListBullet"/>
        <w:numPr>
          <w:ilvl w:val="0"/>
          <w:numId w:val="0"/>
        </w:numPr>
        <w:rPr>
          <w:rFonts w:cstheme="majorHAnsi"/>
        </w:rPr>
      </w:pPr>
    </w:p>
    <w:p w14:paraId="7F091EDA" w14:textId="129806C8" w:rsidR="003573E3" w:rsidRPr="00FE0F8B" w:rsidRDefault="00A820C4" w:rsidP="009615DB">
      <w:pPr>
        <w:pStyle w:val="ListBullet"/>
        <w:numPr>
          <w:ilvl w:val="0"/>
          <w:numId w:val="0"/>
        </w:numPr>
        <w:rPr>
          <w:rFonts w:cstheme="majorHAnsi"/>
        </w:rPr>
      </w:pPr>
      <w:r w:rsidRPr="00FE0F8B">
        <w:rPr>
          <w:rFonts w:cstheme="majorHAnsi"/>
        </w:rPr>
        <w:t xml:space="preserve">Other - </w:t>
      </w:r>
      <w:r w:rsidR="003573E3" w:rsidRPr="00FE0F8B">
        <w:rPr>
          <w:rFonts w:cstheme="majorHAnsi"/>
        </w:rPr>
        <w:t>Each funding provider has its own rules regarding what costs can be claimed. It is essential to review these rules carefully when preparing budgets</w:t>
      </w:r>
      <w:r w:rsidR="00146EEE" w:rsidRPr="00FE0F8B">
        <w:rPr>
          <w:rFonts w:cstheme="majorHAnsi"/>
        </w:rPr>
        <w:t xml:space="preserve"> and e</w:t>
      </w:r>
      <w:r w:rsidR="003573E3" w:rsidRPr="00FE0F8B">
        <w:rPr>
          <w:rFonts w:cstheme="majorHAnsi"/>
        </w:rPr>
        <w:t>nsure compliance with specific cost categories and allowable expenses as defined by the funder.</w:t>
      </w:r>
    </w:p>
    <w:p w14:paraId="5CF8B154" w14:textId="03520F03" w:rsidR="0087228C" w:rsidRPr="00FE0F8B" w:rsidRDefault="238608D6" w:rsidP="00C16F61">
      <w:pPr>
        <w:pStyle w:val="Heading1"/>
      </w:pPr>
      <w:r w:rsidRPr="00FE0F8B">
        <w:t>4</w:t>
      </w:r>
      <w:r w:rsidR="00E612F5" w:rsidRPr="00FE0F8B">
        <w:t>. Consultancy and Other Research Services</w:t>
      </w:r>
    </w:p>
    <w:p w14:paraId="34B5DF4C" w14:textId="3B5101D6" w:rsidR="00F6002B" w:rsidRPr="00FE0F8B" w:rsidRDefault="0052242A" w:rsidP="00315F86">
      <w:pPr>
        <w:pStyle w:val="ListBullet"/>
        <w:numPr>
          <w:ilvl w:val="0"/>
          <w:numId w:val="0"/>
        </w:numPr>
        <w:rPr>
          <w:rFonts w:cstheme="majorHAnsi"/>
        </w:rPr>
      </w:pPr>
      <w:r w:rsidRPr="00FE0F8B">
        <w:rPr>
          <w:rFonts w:cstheme="majorHAnsi"/>
        </w:rPr>
        <w:t xml:space="preserve">The University will typically have more freedom to charge a </w:t>
      </w:r>
      <w:r w:rsidR="009F5BD4" w:rsidRPr="00FE0F8B">
        <w:rPr>
          <w:rFonts w:cstheme="majorHAnsi"/>
        </w:rPr>
        <w:t>cost-plus</w:t>
      </w:r>
      <w:r w:rsidRPr="00FE0F8B">
        <w:rPr>
          <w:rFonts w:cstheme="majorHAnsi"/>
        </w:rPr>
        <w:t xml:space="preserve"> price for </w:t>
      </w:r>
      <w:r w:rsidR="00FA2E0E" w:rsidRPr="00FE0F8B">
        <w:rPr>
          <w:rFonts w:cstheme="majorHAnsi"/>
        </w:rPr>
        <w:t>Consultancy services</w:t>
      </w:r>
      <w:r w:rsidR="008724F1" w:rsidRPr="00FE0F8B">
        <w:rPr>
          <w:rFonts w:cstheme="majorHAnsi"/>
        </w:rPr>
        <w:t xml:space="preserve">. A margin should be added to the cost of providing the service </w:t>
      </w:r>
      <w:r w:rsidR="00E27FE1" w:rsidRPr="00FE0F8B">
        <w:rPr>
          <w:rFonts w:cstheme="majorHAnsi"/>
        </w:rPr>
        <w:t>based on</w:t>
      </w:r>
      <w:r w:rsidR="008724F1" w:rsidRPr="00FE0F8B">
        <w:rPr>
          <w:rFonts w:cstheme="majorHAnsi"/>
        </w:rPr>
        <w:t xml:space="preserve"> c</w:t>
      </w:r>
      <w:r w:rsidR="00FA2E0E" w:rsidRPr="00FE0F8B">
        <w:rPr>
          <w:rFonts w:cstheme="majorHAnsi"/>
        </w:rPr>
        <w:t>ompetitive market rates.</w:t>
      </w:r>
    </w:p>
    <w:p w14:paraId="289C894D" w14:textId="75DFA543" w:rsidR="00A820C4" w:rsidRPr="00FE0F8B" w:rsidRDefault="395E4DDF" w:rsidP="00315F86">
      <w:pPr>
        <w:pStyle w:val="Heading1"/>
      </w:pPr>
      <w:r w:rsidRPr="00FE0F8B">
        <w:t>5</w:t>
      </w:r>
      <w:r w:rsidR="008B78F8" w:rsidRPr="00FE0F8B">
        <w:t xml:space="preserve">. </w:t>
      </w:r>
      <w:r w:rsidR="00D22C5A" w:rsidRPr="00FE0F8B">
        <w:t>VAT</w:t>
      </w:r>
    </w:p>
    <w:p w14:paraId="6BEA0735" w14:textId="482E05AD" w:rsidR="009F52AC" w:rsidRPr="00FE0F8B" w:rsidRDefault="00131251" w:rsidP="000A156B">
      <w:r w:rsidRPr="00FE0F8B">
        <w:t xml:space="preserve">It is important to consider </w:t>
      </w:r>
      <w:r w:rsidR="00021543" w:rsidRPr="00FE0F8B">
        <w:t>VAT implications during the costing process, to ensure both external and input VAT are treated correctly.</w:t>
      </w:r>
    </w:p>
    <w:p w14:paraId="5A525921" w14:textId="5D8DE302" w:rsidR="008B78F8" w:rsidRPr="00FE0F8B" w:rsidRDefault="02229819" w:rsidP="00315F86">
      <w:pPr>
        <w:pStyle w:val="Heading1"/>
      </w:pPr>
      <w:r w:rsidRPr="00FE0F8B">
        <w:t>6</w:t>
      </w:r>
      <w:r w:rsidR="009F52AC" w:rsidRPr="00FE0F8B">
        <w:t xml:space="preserve">. </w:t>
      </w:r>
      <w:r w:rsidR="008B78F8" w:rsidRPr="00FE0F8B">
        <w:t>Deadlines</w:t>
      </w:r>
    </w:p>
    <w:p w14:paraId="64899FE0" w14:textId="406373F0" w:rsidR="00784AD7" w:rsidRDefault="008B78F8" w:rsidP="00784AD7">
      <w:pPr>
        <w:rPr>
          <w:rFonts w:cstheme="majorHAnsi"/>
        </w:rPr>
      </w:pPr>
      <w:r w:rsidRPr="00FE0F8B">
        <w:rPr>
          <w:rFonts w:cstheme="majorHAnsi"/>
        </w:rPr>
        <w:t>The Principal Investig</w:t>
      </w:r>
      <w:r w:rsidR="000B1460" w:rsidRPr="00FE0F8B">
        <w:rPr>
          <w:rFonts w:cstheme="majorHAnsi"/>
        </w:rPr>
        <w:t>a</w:t>
      </w:r>
      <w:r w:rsidRPr="00FE0F8B">
        <w:rPr>
          <w:rFonts w:cstheme="majorHAnsi"/>
        </w:rPr>
        <w:t xml:space="preserve">tor (PI) will </w:t>
      </w:r>
      <w:r w:rsidR="00CE6238" w:rsidRPr="00FE0F8B">
        <w:rPr>
          <w:rFonts w:cstheme="majorHAnsi"/>
        </w:rPr>
        <w:t xml:space="preserve">contact the Research Office at the earliest opportunity to discuss their intended proposal. This should be no later than 3 months before the submission deadline. The project costing and pricing should be submitted no later than </w:t>
      </w:r>
      <w:r w:rsidR="00A01706" w:rsidRPr="00FE0F8B">
        <w:rPr>
          <w:rFonts w:cstheme="majorHAnsi"/>
        </w:rPr>
        <w:t>3 weeks before the submission deadline</w:t>
      </w:r>
      <w:r w:rsidR="00E27FE1" w:rsidRPr="00FE0F8B">
        <w:rPr>
          <w:rFonts w:cstheme="majorHAnsi"/>
        </w:rPr>
        <w:t>, to ensure there is sufficient time for financial review.</w:t>
      </w:r>
    </w:p>
    <w:p w14:paraId="426396D4" w14:textId="77777777" w:rsidR="00784AD7" w:rsidRDefault="00784AD7">
      <w:pPr>
        <w:rPr>
          <w:rFonts w:cstheme="majorHAnsi"/>
        </w:rPr>
      </w:pPr>
      <w:r>
        <w:rPr>
          <w:rFonts w:cstheme="majorHAnsi"/>
        </w:rPr>
        <w:br w:type="page"/>
      </w:r>
    </w:p>
    <w:p w14:paraId="501E95BE" w14:textId="77777777" w:rsidR="00E05F09" w:rsidRPr="00FE0F8B" w:rsidRDefault="00E05F09" w:rsidP="00784AD7"/>
    <w:p w14:paraId="1CD61FF7" w14:textId="1CD3B33D" w:rsidR="008B78F8" w:rsidRPr="00FE0F8B" w:rsidRDefault="1E133372" w:rsidP="00315F86">
      <w:pPr>
        <w:pStyle w:val="Heading1"/>
      </w:pPr>
      <w:r w:rsidRPr="00FE0F8B">
        <w:t>7</w:t>
      </w:r>
      <w:r w:rsidR="008B78F8" w:rsidRPr="00FE0F8B">
        <w:t>. Internal Approval of Research Proposals</w:t>
      </w:r>
    </w:p>
    <w:p w14:paraId="5A9E6B31" w14:textId="58B50A9B" w:rsidR="008B78F8" w:rsidRPr="00FE0F8B" w:rsidRDefault="008B78F8" w:rsidP="008B78F8"/>
    <w:tbl>
      <w:tblPr>
        <w:tblStyle w:val="TableGrid"/>
        <w:tblW w:w="9496" w:type="dxa"/>
        <w:tblLook w:val="04A0" w:firstRow="1" w:lastRow="0" w:firstColumn="1" w:lastColumn="0" w:noHBand="0" w:noVBand="1"/>
      </w:tblPr>
      <w:tblGrid>
        <w:gridCol w:w="1970"/>
        <w:gridCol w:w="1833"/>
        <w:gridCol w:w="1554"/>
        <w:gridCol w:w="2984"/>
        <w:gridCol w:w="1155"/>
      </w:tblGrid>
      <w:tr w:rsidR="00B14654" w:rsidRPr="00FE0F8B" w14:paraId="7B3776A7" w14:textId="77777777" w:rsidTr="52FCBF4B">
        <w:tc>
          <w:tcPr>
            <w:tcW w:w="1970" w:type="dxa"/>
          </w:tcPr>
          <w:p w14:paraId="4DA3EF8C" w14:textId="180C60E7" w:rsidR="00B14654" w:rsidRPr="00FE0F8B" w:rsidRDefault="00B14654" w:rsidP="00B14654">
            <w:pPr>
              <w:jc w:val="center"/>
              <w:rPr>
                <w:b/>
                <w:bCs/>
                <w:sz w:val="18"/>
                <w:szCs w:val="18"/>
              </w:rPr>
            </w:pPr>
            <w:r w:rsidRPr="00FE0F8B">
              <w:rPr>
                <w:b/>
                <w:bCs/>
                <w:sz w:val="18"/>
                <w:szCs w:val="18"/>
              </w:rPr>
              <w:t>Full Economic Cost</w:t>
            </w:r>
          </w:p>
        </w:tc>
        <w:tc>
          <w:tcPr>
            <w:tcW w:w="1833" w:type="dxa"/>
          </w:tcPr>
          <w:p w14:paraId="2529B989" w14:textId="53E3B1DF" w:rsidR="00B14654" w:rsidRPr="00FE0F8B" w:rsidRDefault="00B14654" w:rsidP="00B14654">
            <w:pPr>
              <w:jc w:val="center"/>
              <w:rPr>
                <w:b/>
                <w:bCs/>
                <w:sz w:val="18"/>
                <w:szCs w:val="18"/>
              </w:rPr>
            </w:pPr>
            <w:r w:rsidRPr="00FE0F8B">
              <w:rPr>
                <w:b/>
                <w:bCs/>
                <w:sz w:val="18"/>
                <w:szCs w:val="18"/>
              </w:rPr>
              <w:t>Research Office Approval</w:t>
            </w:r>
          </w:p>
        </w:tc>
        <w:tc>
          <w:tcPr>
            <w:tcW w:w="1554" w:type="dxa"/>
          </w:tcPr>
          <w:p w14:paraId="4CBF70EB" w14:textId="6238D0AE" w:rsidR="00B14654" w:rsidRPr="00FE0F8B" w:rsidRDefault="00B14654" w:rsidP="00B14654">
            <w:pPr>
              <w:jc w:val="center"/>
              <w:rPr>
                <w:b/>
                <w:bCs/>
                <w:sz w:val="18"/>
                <w:szCs w:val="18"/>
              </w:rPr>
            </w:pPr>
            <w:r w:rsidRPr="00FE0F8B">
              <w:rPr>
                <w:b/>
                <w:bCs/>
                <w:sz w:val="18"/>
                <w:szCs w:val="18"/>
              </w:rPr>
              <w:t>Academic Approval</w:t>
            </w:r>
          </w:p>
        </w:tc>
        <w:tc>
          <w:tcPr>
            <w:tcW w:w="2984" w:type="dxa"/>
          </w:tcPr>
          <w:p w14:paraId="675BD164" w14:textId="361CFA95" w:rsidR="00B14654" w:rsidRPr="00FE0F8B" w:rsidRDefault="00B14654" w:rsidP="00B14654">
            <w:pPr>
              <w:jc w:val="center"/>
              <w:rPr>
                <w:b/>
                <w:bCs/>
                <w:sz w:val="18"/>
                <w:szCs w:val="18"/>
              </w:rPr>
            </w:pPr>
            <w:r w:rsidRPr="00FE0F8B">
              <w:rPr>
                <w:b/>
                <w:bCs/>
                <w:sz w:val="18"/>
                <w:szCs w:val="18"/>
              </w:rPr>
              <w:t>Finance Approval</w:t>
            </w:r>
          </w:p>
        </w:tc>
        <w:tc>
          <w:tcPr>
            <w:tcW w:w="1155" w:type="dxa"/>
          </w:tcPr>
          <w:p w14:paraId="487CEA5B" w14:textId="74BD2ECC" w:rsidR="00B14654" w:rsidRPr="00FE0F8B" w:rsidRDefault="00B14654" w:rsidP="00B14654">
            <w:pPr>
              <w:jc w:val="center"/>
              <w:rPr>
                <w:b/>
                <w:bCs/>
                <w:sz w:val="18"/>
                <w:szCs w:val="18"/>
              </w:rPr>
            </w:pPr>
            <w:r w:rsidRPr="00FE0F8B">
              <w:rPr>
                <w:b/>
                <w:bCs/>
                <w:sz w:val="18"/>
                <w:szCs w:val="18"/>
              </w:rPr>
              <w:t>Exec Approval</w:t>
            </w:r>
          </w:p>
        </w:tc>
      </w:tr>
      <w:tr w:rsidR="00B14654" w:rsidRPr="00FE0F8B" w14:paraId="1DECBBB8" w14:textId="77777777" w:rsidTr="52FCBF4B">
        <w:tc>
          <w:tcPr>
            <w:tcW w:w="1970" w:type="dxa"/>
            <w:shd w:val="clear" w:color="auto" w:fill="FDFDFD"/>
          </w:tcPr>
          <w:p w14:paraId="19CFDD74" w14:textId="6CC7FB71" w:rsidR="00B14654" w:rsidRPr="00FE0F8B" w:rsidRDefault="00643740" w:rsidP="008B78F8">
            <w:pPr>
              <w:rPr>
                <w:sz w:val="18"/>
                <w:szCs w:val="18"/>
              </w:rPr>
            </w:pPr>
            <w:r w:rsidRPr="00FE0F8B">
              <w:rPr>
                <w:sz w:val="18"/>
                <w:szCs w:val="18"/>
              </w:rPr>
              <w:t>Up to £50,000</w:t>
            </w:r>
          </w:p>
        </w:tc>
        <w:tc>
          <w:tcPr>
            <w:tcW w:w="1833" w:type="dxa"/>
            <w:shd w:val="clear" w:color="auto" w:fill="FDFDFD"/>
          </w:tcPr>
          <w:p w14:paraId="566F7D7C" w14:textId="563E50F4" w:rsidR="00B14654" w:rsidRPr="00FE0F8B" w:rsidRDefault="00643740" w:rsidP="008B78F8">
            <w:pPr>
              <w:rPr>
                <w:sz w:val="18"/>
                <w:szCs w:val="18"/>
              </w:rPr>
            </w:pPr>
            <w:r w:rsidRPr="00FE0F8B">
              <w:rPr>
                <w:sz w:val="18"/>
                <w:szCs w:val="18"/>
              </w:rPr>
              <w:t>Dean of Research (or nominee)</w:t>
            </w:r>
          </w:p>
        </w:tc>
        <w:tc>
          <w:tcPr>
            <w:tcW w:w="1554" w:type="dxa"/>
            <w:shd w:val="clear" w:color="auto" w:fill="FDFDFD"/>
          </w:tcPr>
          <w:p w14:paraId="0E2DEFCB" w14:textId="69DF7E6A" w:rsidR="00B14654" w:rsidRPr="00FE0F8B" w:rsidRDefault="00643740" w:rsidP="008B78F8">
            <w:pPr>
              <w:rPr>
                <w:sz w:val="18"/>
                <w:szCs w:val="18"/>
              </w:rPr>
            </w:pPr>
            <w:r w:rsidRPr="00FE0F8B">
              <w:rPr>
                <w:sz w:val="18"/>
                <w:szCs w:val="18"/>
              </w:rPr>
              <w:t>Head of School</w:t>
            </w:r>
          </w:p>
        </w:tc>
        <w:tc>
          <w:tcPr>
            <w:tcW w:w="2984" w:type="dxa"/>
            <w:shd w:val="clear" w:color="auto" w:fill="FDFDFD"/>
          </w:tcPr>
          <w:p w14:paraId="1354E7E3" w14:textId="6F3774AB" w:rsidR="00B14654" w:rsidRPr="00FE0F8B" w:rsidRDefault="00643740" w:rsidP="008B78F8">
            <w:pPr>
              <w:rPr>
                <w:sz w:val="18"/>
                <w:szCs w:val="18"/>
              </w:rPr>
            </w:pPr>
            <w:r w:rsidRPr="00FE0F8B">
              <w:rPr>
                <w:sz w:val="18"/>
                <w:szCs w:val="18"/>
              </w:rPr>
              <w:t>Head of Management Accounts</w:t>
            </w:r>
          </w:p>
        </w:tc>
        <w:tc>
          <w:tcPr>
            <w:tcW w:w="1155" w:type="dxa"/>
            <w:shd w:val="clear" w:color="auto" w:fill="FDFDFD"/>
          </w:tcPr>
          <w:p w14:paraId="3B50983A" w14:textId="77777777" w:rsidR="00B14654" w:rsidRPr="00FE0F8B" w:rsidRDefault="00B14654" w:rsidP="008B78F8">
            <w:pPr>
              <w:rPr>
                <w:sz w:val="18"/>
                <w:szCs w:val="18"/>
              </w:rPr>
            </w:pPr>
          </w:p>
        </w:tc>
      </w:tr>
      <w:tr w:rsidR="00B14654" w:rsidRPr="00FE0F8B" w14:paraId="3D945252" w14:textId="77777777" w:rsidTr="52FCBF4B">
        <w:tc>
          <w:tcPr>
            <w:tcW w:w="1970" w:type="dxa"/>
            <w:shd w:val="clear" w:color="auto" w:fill="E8E8E8"/>
          </w:tcPr>
          <w:p w14:paraId="1DEA42BC" w14:textId="19862AA5" w:rsidR="00B14654" w:rsidRPr="00FE0F8B" w:rsidRDefault="00643740" w:rsidP="008B78F8">
            <w:pPr>
              <w:rPr>
                <w:sz w:val="18"/>
                <w:szCs w:val="18"/>
              </w:rPr>
            </w:pPr>
            <w:r w:rsidRPr="00FE0F8B">
              <w:rPr>
                <w:sz w:val="18"/>
                <w:szCs w:val="18"/>
              </w:rPr>
              <w:t>£50,001 - £250,000</w:t>
            </w:r>
          </w:p>
        </w:tc>
        <w:tc>
          <w:tcPr>
            <w:tcW w:w="1833" w:type="dxa"/>
            <w:shd w:val="clear" w:color="auto" w:fill="E8E8E8"/>
          </w:tcPr>
          <w:p w14:paraId="3F0EE550" w14:textId="4A6202B9" w:rsidR="00B14654" w:rsidRPr="00FE0F8B" w:rsidRDefault="00643740" w:rsidP="008B78F8">
            <w:pPr>
              <w:rPr>
                <w:sz w:val="18"/>
                <w:szCs w:val="18"/>
              </w:rPr>
            </w:pPr>
            <w:r w:rsidRPr="00FE0F8B">
              <w:rPr>
                <w:sz w:val="18"/>
                <w:szCs w:val="18"/>
              </w:rPr>
              <w:t>Dean of Research</w:t>
            </w:r>
          </w:p>
        </w:tc>
        <w:tc>
          <w:tcPr>
            <w:tcW w:w="1554" w:type="dxa"/>
            <w:shd w:val="clear" w:color="auto" w:fill="E8E8E8"/>
          </w:tcPr>
          <w:p w14:paraId="397FFEB0" w14:textId="28EAD3DC" w:rsidR="00B14654" w:rsidRPr="00FE0F8B" w:rsidRDefault="00643740" w:rsidP="008B78F8">
            <w:pPr>
              <w:rPr>
                <w:sz w:val="18"/>
                <w:szCs w:val="18"/>
              </w:rPr>
            </w:pPr>
            <w:r w:rsidRPr="00FE0F8B">
              <w:rPr>
                <w:sz w:val="18"/>
                <w:szCs w:val="18"/>
              </w:rPr>
              <w:t>Head of School</w:t>
            </w:r>
          </w:p>
        </w:tc>
        <w:tc>
          <w:tcPr>
            <w:tcW w:w="2984" w:type="dxa"/>
            <w:shd w:val="clear" w:color="auto" w:fill="E8E8E8"/>
          </w:tcPr>
          <w:p w14:paraId="7E5A6A7E" w14:textId="0EEEA8C0" w:rsidR="00B14654" w:rsidRPr="00FE0F8B" w:rsidRDefault="00643740" w:rsidP="008B78F8">
            <w:pPr>
              <w:rPr>
                <w:sz w:val="18"/>
                <w:szCs w:val="18"/>
              </w:rPr>
            </w:pPr>
            <w:r w:rsidRPr="00FE0F8B">
              <w:rPr>
                <w:sz w:val="18"/>
                <w:szCs w:val="18"/>
              </w:rPr>
              <w:t>Head of Management Accounts</w:t>
            </w:r>
          </w:p>
        </w:tc>
        <w:tc>
          <w:tcPr>
            <w:tcW w:w="1155" w:type="dxa"/>
            <w:shd w:val="clear" w:color="auto" w:fill="E8E8E8"/>
          </w:tcPr>
          <w:p w14:paraId="6DB46BB1" w14:textId="77777777" w:rsidR="00B14654" w:rsidRPr="00FE0F8B" w:rsidRDefault="00B14654" w:rsidP="008B78F8">
            <w:pPr>
              <w:rPr>
                <w:sz w:val="18"/>
                <w:szCs w:val="18"/>
              </w:rPr>
            </w:pPr>
          </w:p>
        </w:tc>
      </w:tr>
      <w:tr w:rsidR="00B14654" w:rsidRPr="00FE0F8B" w14:paraId="040D7D9E" w14:textId="77777777" w:rsidTr="52FCBF4B">
        <w:tc>
          <w:tcPr>
            <w:tcW w:w="1970" w:type="dxa"/>
            <w:shd w:val="clear" w:color="auto" w:fill="D9D9D9" w:themeFill="background1" w:themeFillShade="D9"/>
          </w:tcPr>
          <w:p w14:paraId="7E26F8B7" w14:textId="0F21DC8D" w:rsidR="00B14654" w:rsidRPr="00FE0F8B" w:rsidRDefault="00643740" w:rsidP="008B78F8">
            <w:pPr>
              <w:rPr>
                <w:sz w:val="18"/>
                <w:szCs w:val="18"/>
              </w:rPr>
            </w:pPr>
            <w:r w:rsidRPr="00FE0F8B">
              <w:rPr>
                <w:sz w:val="18"/>
                <w:szCs w:val="18"/>
              </w:rPr>
              <w:t>£250,001 - £1m</w:t>
            </w:r>
          </w:p>
        </w:tc>
        <w:tc>
          <w:tcPr>
            <w:tcW w:w="1833" w:type="dxa"/>
            <w:shd w:val="clear" w:color="auto" w:fill="D9D9D9" w:themeFill="background1" w:themeFillShade="D9"/>
          </w:tcPr>
          <w:p w14:paraId="38207805" w14:textId="7F500458" w:rsidR="00B14654" w:rsidRPr="00FE0F8B" w:rsidRDefault="00643740" w:rsidP="008B78F8">
            <w:pPr>
              <w:rPr>
                <w:sz w:val="18"/>
                <w:szCs w:val="18"/>
              </w:rPr>
            </w:pPr>
            <w:r w:rsidRPr="00FE0F8B">
              <w:rPr>
                <w:sz w:val="18"/>
                <w:szCs w:val="18"/>
              </w:rPr>
              <w:t>Dean of Research</w:t>
            </w:r>
          </w:p>
        </w:tc>
        <w:tc>
          <w:tcPr>
            <w:tcW w:w="1554" w:type="dxa"/>
            <w:shd w:val="clear" w:color="auto" w:fill="D9D9D9" w:themeFill="background1" w:themeFillShade="D9"/>
          </w:tcPr>
          <w:p w14:paraId="50A93540" w14:textId="53CE6E32" w:rsidR="00B14654" w:rsidRPr="00FE0F8B" w:rsidRDefault="00643740" w:rsidP="008B78F8">
            <w:pPr>
              <w:rPr>
                <w:sz w:val="18"/>
                <w:szCs w:val="18"/>
              </w:rPr>
            </w:pPr>
            <w:r w:rsidRPr="00FE0F8B">
              <w:rPr>
                <w:sz w:val="18"/>
                <w:szCs w:val="18"/>
              </w:rPr>
              <w:t>Head of School</w:t>
            </w:r>
          </w:p>
        </w:tc>
        <w:tc>
          <w:tcPr>
            <w:tcW w:w="2984" w:type="dxa"/>
            <w:shd w:val="clear" w:color="auto" w:fill="D9D9D9" w:themeFill="background1" w:themeFillShade="D9"/>
          </w:tcPr>
          <w:p w14:paraId="066CC580" w14:textId="7F14D046" w:rsidR="00B14654" w:rsidRPr="00FE0F8B" w:rsidRDefault="00643740" w:rsidP="008B78F8">
            <w:pPr>
              <w:rPr>
                <w:sz w:val="18"/>
                <w:szCs w:val="18"/>
              </w:rPr>
            </w:pPr>
            <w:r w:rsidRPr="00FE0F8B">
              <w:rPr>
                <w:sz w:val="18"/>
                <w:szCs w:val="18"/>
              </w:rPr>
              <w:t>Director of Finance</w:t>
            </w:r>
          </w:p>
        </w:tc>
        <w:tc>
          <w:tcPr>
            <w:tcW w:w="1155" w:type="dxa"/>
            <w:shd w:val="clear" w:color="auto" w:fill="D9D9D9" w:themeFill="background1" w:themeFillShade="D9"/>
          </w:tcPr>
          <w:p w14:paraId="15E16C89" w14:textId="277C7866" w:rsidR="00B14654" w:rsidRPr="00FE0F8B" w:rsidRDefault="00643740" w:rsidP="008B78F8">
            <w:pPr>
              <w:rPr>
                <w:sz w:val="18"/>
                <w:szCs w:val="18"/>
              </w:rPr>
            </w:pPr>
            <w:r w:rsidRPr="00FE0F8B">
              <w:rPr>
                <w:sz w:val="18"/>
                <w:szCs w:val="18"/>
              </w:rPr>
              <w:t>DVC</w:t>
            </w:r>
          </w:p>
        </w:tc>
      </w:tr>
      <w:tr w:rsidR="00B14654" w:rsidRPr="00FE0F8B" w14:paraId="07A5AA9B" w14:textId="77777777" w:rsidTr="52FCBF4B">
        <w:tc>
          <w:tcPr>
            <w:tcW w:w="1970" w:type="dxa"/>
            <w:shd w:val="clear" w:color="auto" w:fill="C5C5C5"/>
          </w:tcPr>
          <w:p w14:paraId="1498D292" w14:textId="426DF44C" w:rsidR="00B14654" w:rsidRPr="00FE0F8B" w:rsidRDefault="00643740" w:rsidP="008B78F8">
            <w:pPr>
              <w:rPr>
                <w:sz w:val="18"/>
                <w:szCs w:val="18"/>
              </w:rPr>
            </w:pPr>
            <w:r w:rsidRPr="00FE0F8B">
              <w:rPr>
                <w:sz w:val="18"/>
                <w:szCs w:val="18"/>
              </w:rPr>
              <w:t>£1m+</w:t>
            </w:r>
          </w:p>
        </w:tc>
        <w:tc>
          <w:tcPr>
            <w:tcW w:w="1833" w:type="dxa"/>
            <w:shd w:val="clear" w:color="auto" w:fill="C5C5C5"/>
          </w:tcPr>
          <w:p w14:paraId="45D2D90C" w14:textId="3BC3AC44" w:rsidR="00B14654" w:rsidRPr="00FE0F8B" w:rsidRDefault="00643740" w:rsidP="008B78F8">
            <w:pPr>
              <w:rPr>
                <w:sz w:val="18"/>
                <w:szCs w:val="18"/>
              </w:rPr>
            </w:pPr>
            <w:r w:rsidRPr="00FE0F8B">
              <w:rPr>
                <w:sz w:val="18"/>
                <w:szCs w:val="18"/>
              </w:rPr>
              <w:t>Dean of Research</w:t>
            </w:r>
          </w:p>
        </w:tc>
        <w:tc>
          <w:tcPr>
            <w:tcW w:w="1554" w:type="dxa"/>
            <w:shd w:val="clear" w:color="auto" w:fill="C5C5C5"/>
          </w:tcPr>
          <w:p w14:paraId="44DD6911" w14:textId="316654BF" w:rsidR="00B14654" w:rsidRPr="00FE0F8B" w:rsidRDefault="00643740" w:rsidP="008B78F8">
            <w:pPr>
              <w:rPr>
                <w:sz w:val="18"/>
                <w:szCs w:val="18"/>
              </w:rPr>
            </w:pPr>
            <w:r w:rsidRPr="00FE0F8B">
              <w:rPr>
                <w:sz w:val="18"/>
                <w:szCs w:val="18"/>
              </w:rPr>
              <w:t>Head of School</w:t>
            </w:r>
          </w:p>
        </w:tc>
        <w:tc>
          <w:tcPr>
            <w:tcW w:w="2984" w:type="dxa"/>
            <w:shd w:val="clear" w:color="auto" w:fill="C5C5C5"/>
          </w:tcPr>
          <w:p w14:paraId="7D14847E" w14:textId="540930F9" w:rsidR="00B14654" w:rsidRPr="00FE0F8B" w:rsidRDefault="00643740" w:rsidP="008B78F8">
            <w:pPr>
              <w:rPr>
                <w:sz w:val="18"/>
                <w:szCs w:val="18"/>
              </w:rPr>
            </w:pPr>
            <w:r w:rsidRPr="00FE0F8B">
              <w:rPr>
                <w:sz w:val="18"/>
                <w:szCs w:val="18"/>
              </w:rPr>
              <w:t>Director of Finance</w:t>
            </w:r>
          </w:p>
        </w:tc>
        <w:tc>
          <w:tcPr>
            <w:tcW w:w="1155" w:type="dxa"/>
            <w:shd w:val="clear" w:color="auto" w:fill="C5C5C5"/>
          </w:tcPr>
          <w:p w14:paraId="172BD561" w14:textId="0ADA8200" w:rsidR="00B14654" w:rsidRPr="00FE0F8B" w:rsidRDefault="00643740" w:rsidP="008B78F8">
            <w:pPr>
              <w:rPr>
                <w:sz w:val="18"/>
                <w:szCs w:val="18"/>
              </w:rPr>
            </w:pPr>
            <w:r w:rsidRPr="00FE0F8B">
              <w:rPr>
                <w:sz w:val="18"/>
                <w:szCs w:val="18"/>
              </w:rPr>
              <w:t>VC</w:t>
            </w:r>
          </w:p>
        </w:tc>
      </w:tr>
    </w:tbl>
    <w:p w14:paraId="5E9FC358" w14:textId="77777777" w:rsidR="00B14654" w:rsidRPr="00FE0F8B" w:rsidRDefault="00B14654" w:rsidP="008B78F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409"/>
        <w:gridCol w:w="699"/>
      </w:tblGrid>
      <w:tr w:rsidR="00972E82" w:rsidRPr="00FE0F8B" w14:paraId="1FC16103" w14:textId="77777777" w:rsidTr="00BC3304">
        <w:tc>
          <w:tcPr>
            <w:tcW w:w="3256" w:type="dxa"/>
            <w:tcBorders>
              <w:bottom w:val="nil"/>
              <w:right w:val="nil"/>
            </w:tcBorders>
          </w:tcPr>
          <w:p w14:paraId="53714B54" w14:textId="08B5C13C" w:rsidR="00972E82" w:rsidRPr="00FE0F8B" w:rsidRDefault="00972E82" w:rsidP="008B78F8">
            <w:r w:rsidRPr="00FE0F8B">
              <w:t>Minimum FEC Recovery Rate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3C63B041" w14:textId="71C49353" w:rsidR="00972E82" w:rsidRPr="00FE0F8B" w:rsidRDefault="00972E82" w:rsidP="008B78F8">
            <w:r w:rsidRPr="00FE0F8B">
              <w:t>Research Councils</w:t>
            </w:r>
          </w:p>
        </w:tc>
        <w:tc>
          <w:tcPr>
            <w:tcW w:w="284" w:type="dxa"/>
            <w:tcBorders>
              <w:left w:val="nil"/>
              <w:bottom w:val="single" w:sz="4" w:space="0" w:color="auto"/>
            </w:tcBorders>
          </w:tcPr>
          <w:p w14:paraId="576D862D" w14:textId="3364402A" w:rsidR="00972E82" w:rsidRPr="00FE0F8B" w:rsidRDefault="00972E82" w:rsidP="008B78F8">
            <w:r w:rsidRPr="00FE0F8B">
              <w:t>80%</w:t>
            </w:r>
          </w:p>
        </w:tc>
      </w:tr>
      <w:tr w:rsidR="00972E82" w:rsidRPr="00FE0F8B" w14:paraId="73491A22" w14:textId="77777777" w:rsidTr="00BC3304">
        <w:tc>
          <w:tcPr>
            <w:tcW w:w="3256" w:type="dxa"/>
            <w:tcBorders>
              <w:top w:val="nil"/>
              <w:right w:val="nil"/>
            </w:tcBorders>
          </w:tcPr>
          <w:p w14:paraId="58B382CF" w14:textId="77777777" w:rsidR="00972E82" w:rsidRPr="00FE0F8B" w:rsidRDefault="00972E82" w:rsidP="008B78F8"/>
        </w:tc>
        <w:tc>
          <w:tcPr>
            <w:tcW w:w="2409" w:type="dxa"/>
            <w:tcBorders>
              <w:left w:val="nil"/>
              <w:right w:val="nil"/>
            </w:tcBorders>
          </w:tcPr>
          <w:p w14:paraId="79AE2D6A" w14:textId="3BCD2EE1" w:rsidR="00972E82" w:rsidRPr="00FE0F8B" w:rsidRDefault="00972E82" w:rsidP="008B78F8">
            <w:r w:rsidRPr="00FE0F8B">
              <w:t>Charities</w:t>
            </w:r>
          </w:p>
        </w:tc>
        <w:tc>
          <w:tcPr>
            <w:tcW w:w="284" w:type="dxa"/>
            <w:tcBorders>
              <w:left w:val="nil"/>
            </w:tcBorders>
          </w:tcPr>
          <w:p w14:paraId="2A114321" w14:textId="3D584B4E" w:rsidR="00972E82" w:rsidRPr="00FE0F8B" w:rsidRDefault="00972E82" w:rsidP="008B78F8">
            <w:r w:rsidRPr="00FE0F8B">
              <w:t>60%</w:t>
            </w:r>
          </w:p>
        </w:tc>
      </w:tr>
    </w:tbl>
    <w:p w14:paraId="72CC4ADC" w14:textId="77777777" w:rsidR="005665D5" w:rsidRPr="00FE0F8B" w:rsidRDefault="005665D5" w:rsidP="008B78F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1701"/>
        <w:gridCol w:w="1276"/>
      </w:tblGrid>
      <w:tr w:rsidR="00325D20" w:rsidRPr="00FE0F8B" w14:paraId="0FF9E15F" w14:textId="77777777" w:rsidTr="00BC3304">
        <w:tc>
          <w:tcPr>
            <w:tcW w:w="5098" w:type="dxa"/>
          </w:tcPr>
          <w:p w14:paraId="0344C192" w14:textId="60C470B0" w:rsidR="00325D20" w:rsidRPr="00FE0F8B" w:rsidRDefault="00325D20" w:rsidP="008B78F8">
            <w:r w:rsidRPr="00FE0F8B">
              <w:t>Minimum DA/Overhead Contribution Rate</w:t>
            </w:r>
          </w:p>
        </w:tc>
        <w:tc>
          <w:tcPr>
            <w:tcW w:w="1701" w:type="dxa"/>
          </w:tcPr>
          <w:p w14:paraId="7FC2A346" w14:textId="04823A72" w:rsidR="00325D20" w:rsidRPr="00FE0F8B" w:rsidRDefault="00375558" w:rsidP="008B78F8">
            <w:r w:rsidRPr="00FE0F8B">
              <w:t>All Funders</w:t>
            </w:r>
          </w:p>
        </w:tc>
        <w:tc>
          <w:tcPr>
            <w:tcW w:w="1276" w:type="dxa"/>
          </w:tcPr>
          <w:p w14:paraId="68FEBF32" w14:textId="607118AB" w:rsidR="00325D20" w:rsidRPr="00FE0F8B" w:rsidRDefault="00375558" w:rsidP="008B78F8">
            <w:r w:rsidRPr="00FE0F8B">
              <w:t>50%</w:t>
            </w:r>
          </w:p>
        </w:tc>
      </w:tr>
    </w:tbl>
    <w:p w14:paraId="5945172F" w14:textId="77777777" w:rsidR="00325D20" w:rsidRPr="00FE0F8B" w:rsidRDefault="00325D20" w:rsidP="008B78F8"/>
    <w:p w14:paraId="2E95F9F4" w14:textId="044763B4" w:rsidR="008B1B5E" w:rsidRPr="00FE0F8B" w:rsidRDefault="008B1B5E" w:rsidP="008B78F8">
      <w:r w:rsidRPr="00FE0F8B">
        <w:t xml:space="preserve">If </w:t>
      </w:r>
      <w:r w:rsidR="000F7C8C" w:rsidRPr="00FE0F8B">
        <w:t>a project falls below the minimum FEC Recovery Rate and/or Minimum Overhead Contribution Rate, this should be escal</w:t>
      </w:r>
      <w:r w:rsidR="00325D20" w:rsidRPr="00FE0F8B">
        <w:t>at</w:t>
      </w:r>
      <w:r w:rsidR="000F7C8C" w:rsidRPr="00FE0F8B">
        <w:t xml:space="preserve">ed for Executive Approval </w:t>
      </w:r>
      <w:r w:rsidR="00325D20" w:rsidRPr="00FE0F8B">
        <w:t>at a strategic level.</w:t>
      </w:r>
    </w:p>
    <w:p w14:paraId="10662872" w14:textId="6D0687D5" w:rsidR="00B14654" w:rsidRPr="00FE0F8B" w:rsidRDefault="00D121A7" w:rsidP="008B78F8">
      <w:r w:rsidRPr="00FE0F8B">
        <w:t xml:space="preserve">BA Small Grants are exempt from the Minimum Rates </w:t>
      </w:r>
      <w:proofErr w:type="gramStart"/>
      <w:r w:rsidRPr="00FE0F8B">
        <w:t>above, but</w:t>
      </w:r>
      <w:proofErr w:type="gramEnd"/>
      <w:r w:rsidRPr="00FE0F8B">
        <w:t xml:space="preserve"> </w:t>
      </w:r>
      <w:r w:rsidR="008B1B5E" w:rsidRPr="00FE0F8B">
        <w:t xml:space="preserve">are </w:t>
      </w:r>
      <w:r w:rsidRPr="00FE0F8B">
        <w:t xml:space="preserve">subject to DA staff costs </w:t>
      </w:r>
      <w:r w:rsidR="008B1B5E" w:rsidRPr="00FE0F8B">
        <w:t>being no more than 5 days.</w:t>
      </w:r>
    </w:p>
    <w:p w14:paraId="62C07EE1" w14:textId="22153223" w:rsidR="0087228C" w:rsidRPr="00FE0F8B" w:rsidRDefault="1022C2E3" w:rsidP="00315F86">
      <w:pPr>
        <w:pStyle w:val="Heading1"/>
      </w:pPr>
      <w:r w:rsidRPr="00FE0F8B">
        <w:t>8</w:t>
      </w:r>
      <w:r w:rsidR="00E612F5" w:rsidRPr="00FE0F8B">
        <w:t>. Review and Updates</w:t>
      </w:r>
    </w:p>
    <w:p w14:paraId="0DD07BB2" w14:textId="78F75D1C" w:rsidR="0087228C" w:rsidRPr="00FE0F8B" w:rsidRDefault="00E612F5">
      <w:r w:rsidRPr="00FE0F8B">
        <w:t xml:space="preserve">This policy will be reviewed </w:t>
      </w:r>
      <w:r w:rsidR="00CD3B6D" w:rsidRPr="00FE0F8B">
        <w:t>once every three years</w:t>
      </w:r>
      <w:r w:rsidR="005E39E7" w:rsidRPr="00FE0F8B">
        <w:t xml:space="preserve">, or earlier if required due to legislative, regulatory, or operational changes, </w:t>
      </w:r>
      <w:r w:rsidRPr="00FE0F8B">
        <w:t xml:space="preserve">to ensure alignment with the </w:t>
      </w:r>
      <w:r w:rsidR="00441056" w:rsidRPr="00FE0F8B">
        <w:t>U</w:t>
      </w:r>
      <w:r w:rsidRPr="00FE0F8B">
        <w:t>niversity's financial strategy and market conditions.</w:t>
      </w:r>
      <w:r w:rsidR="00CD3B6D" w:rsidRPr="00FE0F8B">
        <w:t xml:space="preserve"> </w:t>
      </w:r>
    </w:p>
    <w:p w14:paraId="12261C1B" w14:textId="31C66B8A" w:rsidR="0087228C" w:rsidRPr="00FE0F8B" w:rsidRDefault="2662072E" w:rsidP="00315F86">
      <w:pPr>
        <w:pStyle w:val="Heading1"/>
      </w:pPr>
      <w:r w:rsidRPr="00FE0F8B">
        <w:t>9</w:t>
      </w:r>
      <w:r w:rsidR="00E612F5" w:rsidRPr="00FE0F8B">
        <w:t>. References</w:t>
      </w:r>
    </w:p>
    <w:p w14:paraId="6A2DF4E4" w14:textId="44CEC2B6" w:rsidR="00664813" w:rsidRPr="00FE0F8B" w:rsidRDefault="00E612F5" w:rsidP="00664813">
      <w:pPr>
        <w:pStyle w:val="ListParagraph"/>
        <w:numPr>
          <w:ilvl w:val="0"/>
          <w:numId w:val="13"/>
        </w:numPr>
      </w:pPr>
      <w:r w:rsidRPr="00FE0F8B">
        <w:t xml:space="preserve">UK Research and Innovation (UKRI) Guidance: </w:t>
      </w:r>
      <w:hyperlink r:id="rId9" w:history="1">
        <w:r w:rsidR="00664813" w:rsidRPr="00FE0F8B">
          <w:rPr>
            <w:rStyle w:val="Hyperlink"/>
            <w:color w:val="auto"/>
          </w:rPr>
          <w:t>https://www.ukri.org</w:t>
        </w:r>
      </w:hyperlink>
    </w:p>
    <w:p w14:paraId="78469CE7" w14:textId="61C01E15" w:rsidR="00D5088B" w:rsidRPr="00FE0F8B" w:rsidRDefault="00E612F5" w:rsidP="00664813">
      <w:pPr>
        <w:pStyle w:val="ListParagraph"/>
        <w:numPr>
          <w:ilvl w:val="0"/>
          <w:numId w:val="13"/>
        </w:numPr>
      </w:pPr>
      <w:r w:rsidRPr="00FE0F8B">
        <w:t xml:space="preserve">British Academy Funding Guidance: </w:t>
      </w:r>
      <w:hyperlink r:id="rId10" w:history="1">
        <w:r w:rsidR="00D5088B" w:rsidRPr="00FE0F8B">
          <w:rPr>
            <w:rStyle w:val="Hyperlink"/>
            <w:color w:val="auto"/>
          </w:rPr>
          <w:t>https://www.thebritishacademy.ac.uk</w:t>
        </w:r>
      </w:hyperlink>
    </w:p>
    <w:p w14:paraId="79187704" w14:textId="7DB9DE68" w:rsidR="00D5088B" w:rsidRPr="00FE0F8B" w:rsidRDefault="00E612F5" w:rsidP="00664813">
      <w:pPr>
        <w:pStyle w:val="ListParagraph"/>
        <w:numPr>
          <w:ilvl w:val="0"/>
          <w:numId w:val="13"/>
        </w:numPr>
      </w:pPr>
      <w:proofErr w:type="spellStart"/>
      <w:r w:rsidRPr="00FE0F8B">
        <w:t>Wellcome</w:t>
      </w:r>
      <w:proofErr w:type="spellEnd"/>
      <w:r w:rsidRPr="00FE0F8B">
        <w:t xml:space="preserve"> Trust Funding Guidance: </w:t>
      </w:r>
      <w:hyperlink r:id="rId11" w:history="1">
        <w:r w:rsidR="00D5088B" w:rsidRPr="00FE0F8B">
          <w:rPr>
            <w:rStyle w:val="Hyperlink"/>
            <w:color w:val="auto"/>
          </w:rPr>
          <w:t>https://wellcome.org/grant-funding</w:t>
        </w:r>
      </w:hyperlink>
    </w:p>
    <w:p w14:paraId="5B10F360" w14:textId="4637AAC2" w:rsidR="0087228C" w:rsidRPr="0025363E" w:rsidRDefault="00E612F5" w:rsidP="006B6E04">
      <w:pPr>
        <w:pStyle w:val="ListParagraph"/>
        <w:numPr>
          <w:ilvl w:val="0"/>
          <w:numId w:val="13"/>
        </w:numPr>
      </w:pPr>
      <w:r w:rsidRPr="00FE0F8B">
        <w:t xml:space="preserve">UK Research Integrity Office (UKRIO) Guidance: </w:t>
      </w:r>
      <w:hyperlink r:id="rId12" w:history="1">
        <w:r w:rsidR="00D5088B" w:rsidRPr="00FE0F8B">
          <w:rPr>
            <w:rStyle w:val="Hyperlink"/>
            <w:color w:val="auto"/>
          </w:rPr>
          <w:t>https://ukrio.org</w:t>
        </w:r>
      </w:hyperlink>
    </w:p>
    <w:sectPr w:rsidR="0087228C" w:rsidRPr="0025363E" w:rsidSect="007105EE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20CC5" w14:textId="77777777" w:rsidR="00A545E9" w:rsidRPr="00FE0F8B" w:rsidRDefault="00A545E9" w:rsidP="005402C0">
      <w:pPr>
        <w:spacing w:after="0" w:line="240" w:lineRule="auto"/>
      </w:pPr>
      <w:r w:rsidRPr="00FE0F8B">
        <w:separator/>
      </w:r>
    </w:p>
  </w:endnote>
  <w:endnote w:type="continuationSeparator" w:id="0">
    <w:p w14:paraId="385EB9E4" w14:textId="77777777" w:rsidR="00A545E9" w:rsidRPr="00FE0F8B" w:rsidRDefault="00A545E9" w:rsidP="005402C0">
      <w:pPr>
        <w:spacing w:after="0" w:line="240" w:lineRule="auto"/>
      </w:pPr>
      <w:r w:rsidRPr="00FE0F8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BB23" w14:textId="77777777" w:rsidR="005402C0" w:rsidRPr="00FE0F8B" w:rsidRDefault="4350BF2B" w:rsidP="00C16F61">
    <w:pPr>
      <w:pStyle w:val="Heading1"/>
    </w:pPr>
    <w:r w:rsidRPr="00FE0F8B">
      <w:t>Research Funding and Costing Policy</w:t>
    </w:r>
  </w:p>
  <w:p w14:paraId="2392D0BE" w14:textId="011F8ED6" w:rsidR="4350BF2B" w:rsidRPr="00FE0F8B" w:rsidRDefault="4350BF2B" w:rsidP="4350BF2B">
    <w:pPr>
      <w:spacing w:after="0"/>
      <w:rPr>
        <w:rFonts w:ascii="Arial Nova" w:hAnsi="Arial Nova"/>
      </w:rPr>
    </w:pPr>
    <w:r w:rsidRPr="00FE0F8B">
      <w:rPr>
        <w:rFonts w:ascii="Arial Nova" w:hAnsi="Arial Nova"/>
      </w:rPr>
      <w:t>Approved by UEG 3</w:t>
    </w:r>
    <w:r w:rsidRPr="00FE0F8B">
      <w:rPr>
        <w:rFonts w:ascii="Arial Nova" w:hAnsi="Arial Nova"/>
        <w:vertAlign w:val="superscript"/>
      </w:rPr>
      <w:t>rd</w:t>
    </w:r>
    <w:r w:rsidRPr="00FE0F8B">
      <w:rPr>
        <w:rFonts w:ascii="Arial Nova" w:hAnsi="Arial Nova"/>
      </w:rPr>
      <w:t xml:space="preserve"> March 2026</w:t>
    </w:r>
  </w:p>
  <w:p w14:paraId="25ED2C92" w14:textId="2D0FC663" w:rsidR="005402C0" w:rsidRPr="00FE0F8B" w:rsidRDefault="4350BF2B" w:rsidP="4350BF2B">
    <w:pPr>
      <w:spacing w:after="0"/>
      <w:rPr>
        <w:rFonts w:ascii="Arial Nova" w:hAnsi="Arial Nova"/>
      </w:rPr>
    </w:pPr>
    <w:r w:rsidRPr="00FE0F8B">
      <w:rPr>
        <w:rFonts w:ascii="Arial Nova" w:hAnsi="Arial Nova"/>
      </w:rPr>
      <w:t>Effective Date: 1 April 2026</w:t>
    </w:r>
  </w:p>
  <w:p w14:paraId="04C0843B" w14:textId="77777777" w:rsidR="005402C0" w:rsidRPr="00FE0F8B" w:rsidRDefault="005402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DFFD5" w14:textId="77777777" w:rsidR="00A545E9" w:rsidRPr="00FE0F8B" w:rsidRDefault="00A545E9" w:rsidP="005402C0">
      <w:pPr>
        <w:spacing w:after="0" w:line="240" w:lineRule="auto"/>
      </w:pPr>
      <w:r w:rsidRPr="00FE0F8B">
        <w:separator/>
      </w:r>
    </w:p>
  </w:footnote>
  <w:footnote w:type="continuationSeparator" w:id="0">
    <w:p w14:paraId="4CC3CD47" w14:textId="77777777" w:rsidR="00A545E9" w:rsidRPr="00FE0F8B" w:rsidRDefault="00A545E9" w:rsidP="005402C0">
      <w:pPr>
        <w:spacing w:after="0" w:line="240" w:lineRule="auto"/>
      </w:pPr>
      <w:r w:rsidRPr="00FE0F8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C6082" w14:textId="652B5347" w:rsidR="003C7E59" w:rsidRPr="00FE0F8B" w:rsidRDefault="003C7E59">
    <w:pPr>
      <w:pStyle w:val="Header"/>
    </w:pPr>
    <w:r w:rsidRPr="00FE0F8B">
      <w:drawing>
        <wp:inline distT="0" distB="0" distL="0" distR="0" wp14:anchorId="4A26B3B1" wp14:editId="41B9051D">
          <wp:extent cx="1961823" cy="568042"/>
          <wp:effectExtent l="0" t="0" r="635" b="3810"/>
          <wp:docPr id="663065000" name="Picture 1" descr="Leeds Trinity University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065000" name="Picture 1" descr="Leeds Trinity University log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1823" cy="568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C44BDC"/>
    <w:multiLevelType w:val="hybridMultilevel"/>
    <w:tmpl w:val="6810C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EF1341"/>
    <w:multiLevelType w:val="hybridMultilevel"/>
    <w:tmpl w:val="96466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42586"/>
    <w:multiLevelType w:val="hybridMultilevel"/>
    <w:tmpl w:val="E370EA22"/>
    <w:lvl w:ilvl="0" w:tplc="4E2656BC">
      <w:numFmt w:val="bullet"/>
      <w:lvlText w:val="-"/>
      <w:lvlJc w:val="left"/>
      <w:pPr>
        <w:ind w:left="720" w:hanging="360"/>
      </w:pPr>
      <w:rPr>
        <w:rFonts w:ascii="Arial Nova" w:eastAsiaTheme="minorEastAsia" w:hAnsi="Arial Nov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0B75B2"/>
    <w:multiLevelType w:val="hybridMultilevel"/>
    <w:tmpl w:val="FBA69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129521">
    <w:abstractNumId w:val="8"/>
  </w:num>
  <w:num w:numId="2" w16cid:durableId="53045900">
    <w:abstractNumId w:val="6"/>
  </w:num>
  <w:num w:numId="3" w16cid:durableId="1472865859">
    <w:abstractNumId w:val="5"/>
  </w:num>
  <w:num w:numId="4" w16cid:durableId="1191722081">
    <w:abstractNumId w:val="4"/>
  </w:num>
  <w:num w:numId="5" w16cid:durableId="209416512">
    <w:abstractNumId w:val="7"/>
  </w:num>
  <w:num w:numId="6" w16cid:durableId="165752836">
    <w:abstractNumId w:val="3"/>
  </w:num>
  <w:num w:numId="7" w16cid:durableId="994800393">
    <w:abstractNumId w:val="2"/>
  </w:num>
  <w:num w:numId="8" w16cid:durableId="2125806543">
    <w:abstractNumId w:val="1"/>
  </w:num>
  <w:num w:numId="9" w16cid:durableId="2134015561">
    <w:abstractNumId w:val="0"/>
  </w:num>
  <w:num w:numId="10" w16cid:durableId="1858421649">
    <w:abstractNumId w:val="10"/>
  </w:num>
  <w:num w:numId="11" w16cid:durableId="1908614020">
    <w:abstractNumId w:val="11"/>
  </w:num>
  <w:num w:numId="12" w16cid:durableId="1779370699">
    <w:abstractNumId w:val="9"/>
  </w:num>
  <w:num w:numId="13" w16cid:durableId="20944316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EC5"/>
    <w:rsid w:val="00002360"/>
    <w:rsid w:val="00021543"/>
    <w:rsid w:val="00027D0F"/>
    <w:rsid w:val="00034616"/>
    <w:rsid w:val="00044FC3"/>
    <w:rsid w:val="0006063C"/>
    <w:rsid w:val="00080837"/>
    <w:rsid w:val="00084332"/>
    <w:rsid w:val="00093E44"/>
    <w:rsid w:val="000A156B"/>
    <w:rsid w:val="000A1E4B"/>
    <w:rsid w:val="000A53E7"/>
    <w:rsid w:val="000B1460"/>
    <w:rsid w:val="000E4CF5"/>
    <w:rsid w:val="000F71FD"/>
    <w:rsid w:val="000F7C8C"/>
    <w:rsid w:val="0011749E"/>
    <w:rsid w:val="00123D30"/>
    <w:rsid w:val="00131251"/>
    <w:rsid w:val="00146EEE"/>
    <w:rsid w:val="0015074B"/>
    <w:rsid w:val="00157CE8"/>
    <w:rsid w:val="001655DA"/>
    <w:rsid w:val="001753BC"/>
    <w:rsid w:val="001C68AB"/>
    <w:rsid w:val="001E3A14"/>
    <w:rsid w:val="001E7963"/>
    <w:rsid w:val="0022311E"/>
    <w:rsid w:val="00223D53"/>
    <w:rsid w:val="00224F17"/>
    <w:rsid w:val="0023353A"/>
    <w:rsid w:val="00247E3F"/>
    <w:rsid w:val="00253133"/>
    <w:rsid w:val="0025363E"/>
    <w:rsid w:val="0029639D"/>
    <w:rsid w:val="002A4F03"/>
    <w:rsid w:val="002C1431"/>
    <w:rsid w:val="002C3F48"/>
    <w:rsid w:val="003074AC"/>
    <w:rsid w:val="00315F86"/>
    <w:rsid w:val="00325D20"/>
    <w:rsid w:val="00326A33"/>
    <w:rsid w:val="00326F90"/>
    <w:rsid w:val="003501E9"/>
    <w:rsid w:val="003573E3"/>
    <w:rsid w:val="00375558"/>
    <w:rsid w:val="003843BD"/>
    <w:rsid w:val="003859C2"/>
    <w:rsid w:val="003C7E59"/>
    <w:rsid w:val="0040751D"/>
    <w:rsid w:val="004335EA"/>
    <w:rsid w:val="00441056"/>
    <w:rsid w:val="0045752A"/>
    <w:rsid w:val="004656A3"/>
    <w:rsid w:val="00476D1B"/>
    <w:rsid w:val="004B0A64"/>
    <w:rsid w:val="004B7541"/>
    <w:rsid w:val="004C6C4A"/>
    <w:rsid w:val="004C77D1"/>
    <w:rsid w:val="004E6CB2"/>
    <w:rsid w:val="00503088"/>
    <w:rsid w:val="0052242A"/>
    <w:rsid w:val="00525D30"/>
    <w:rsid w:val="00537D8F"/>
    <w:rsid w:val="005402C0"/>
    <w:rsid w:val="005466A3"/>
    <w:rsid w:val="00547CBE"/>
    <w:rsid w:val="00550ACF"/>
    <w:rsid w:val="005536FC"/>
    <w:rsid w:val="0055608D"/>
    <w:rsid w:val="005665D5"/>
    <w:rsid w:val="005818FC"/>
    <w:rsid w:val="005A0C4C"/>
    <w:rsid w:val="005A6093"/>
    <w:rsid w:val="005B4204"/>
    <w:rsid w:val="005C2DA3"/>
    <w:rsid w:val="005C44A9"/>
    <w:rsid w:val="005D0F48"/>
    <w:rsid w:val="005E39E7"/>
    <w:rsid w:val="00626C1C"/>
    <w:rsid w:val="00633D3D"/>
    <w:rsid w:val="006364B5"/>
    <w:rsid w:val="00640892"/>
    <w:rsid w:val="00643740"/>
    <w:rsid w:val="00664813"/>
    <w:rsid w:val="00670FE3"/>
    <w:rsid w:val="00671DF7"/>
    <w:rsid w:val="006B4944"/>
    <w:rsid w:val="006B6273"/>
    <w:rsid w:val="00706D6B"/>
    <w:rsid w:val="007105EE"/>
    <w:rsid w:val="00712B59"/>
    <w:rsid w:val="00743CC0"/>
    <w:rsid w:val="00784AD7"/>
    <w:rsid w:val="00784FA1"/>
    <w:rsid w:val="00794DF8"/>
    <w:rsid w:val="007A6D4A"/>
    <w:rsid w:val="007B570E"/>
    <w:rsid w:val="007C1974"/>
    <w:rsid w:val="007C4547"/>
    <w:rsid w:val="007D2D9F"/>
    <w:rsid w:val="007E34F3"/>
    <w:rsid w:val="007E3603"/>
    <w:rsid w:val="008407DE"/>
    <w:rsid w:val="00842CFB"/>
    <w:rsid w:val="00843DA5"/>
    <w:rsid w:val="0085593A"/>
    <w:rsid w:val="00871190"/>
    <w:rsid w:val="0087228C"/>
    <w:rsid w:val="008724F1"/>
    <w:rsid w:val="008A7BA0"/>
    <w:rsid w:val="008B1B5E"/>
    <w:rsid w:val="008B78F8"/>
    <w:rsid w:val="008C575F"/>
    <w:rsid w:val="008D1498"/>
    <w:rsid w:val="008E076E"/>
    <w:rsid w:val="008F3398"/>
    <w:rsid w:val="00922B4E"/>
    <w:rsid w:val="00926218"/>
    <w:rsid w:val="009615DB"/>
    <w:rsid w:val="00961B1F"/>
    <w:rsid w:val="00972E82"/>
    <w:rsid w:val="00984ACA"/>
    <w:rsid w:val="009C71A7"/>
    <w:rsid w:val="009E1C6E"/>
    <w:rsid w:val="009F1F00"/>
    <w:rsid w:val="009F52AC"/>
    <w:rsid w:val="009F5BD4"/>
    <w:rsid w:val="00A01706"/>
    <w:rsid w:val="00A1298F"/>
    <w:rsid w:val="00A159C6"/>
    <w:rsid w:val="00A545E9"/>
    <w:rsid w:val="00A55E57"/>
    <w:rsid w:val="00A57091"/>
    <w:rsid w:val="00A67486"/>
    <w:rsid w:val="00A67BC8"/>
    <w:rsid w:val="00A820C4"/>
    <w:rsid w:val="00AA1D8D"/>
    <w:rsid w:val="00AC5518"/>
    <w:rsid w:val="00B0385D"/>
    <w:rsid w:val="00B05FE3"/>
    <w:rsid w:val="00B14654"/>
    <w:rsid w:val="00B47730"/>
    <w:rsid w:val="00B50C02"/>
    <w:rsid w:val="00B733AA"/>
    <w:rsid w:val="00B8694C"/>
    <w:rsid w:val="00BA5169"/>
    <w:rsid w:val="00BB1E09"/>
    <w:rsid w:val="00BC04F3"/>
    <w:rsid w:val="00BC3304"/>
    <w:rsid w:val="00BE3215"/>
    <w:rsid w:val="00BF109B"/>
    <w:rsid w:val="00BF6819"/>
    <w:rsid w:val="00C04DA8"/>
    <w:rsid w:val="00C12E8E"/>
    <w:rsid w:val="00C16F61"/>
    <w:rsid w:val="00C42FF5"/>
    <w:rsid w:val="00C65285"/>
    <w:rsid w:val="00CA6095"/>
    <w:rsid w:val="00CB0664"/>
    <w:rsid w:val="00CD3B6D"/>
    <w:rsid w:val="00CE6238"/>
    <w:rsid w:val="00CF3915"/>
    <w:rsid w:val="00D11115"/>
    <w:rsid w:val="00D121A7"/>
    <w:rsid w:val="00D22C5A"/>
    <w:rsid w:val="00D33EF2"/>
    <w:rsid w:val="00D3597C"/>
    <w:rsid w:val="00D5088B"/>
    <w:rsid w:val="00D70365"/>
    <w:rsid w:val="00D7377E"/>
    <w:rsid w:val="00D87D16"/>
    <w:rsid w:val="00D94616"/>
    <w:rsid w:val="00DA5CD4"/>
    <w:rsid w:val="00DD442D"/>
    <w:rsid w:val="00DE5871"/>
    <w:rsid w:val="00DE6A9D"/>
    <w:rsid w:val="00DE756A"/>
    <w:rsid w:val="00DF5149"/>
    <w:rsid w:val="00E005CD"/>
    <w:rsid w:val="00E04340"/>
    <w:rsid w:val="00E05F09"/>
    <w:rsid w:val="00E162C9"/>
    <w:rsid w:val="00E24D61"/>
    <w:rsid w:val="00E27FE1"/>
    <w:rsid w:val="00E46446"/>
    <w:rsid w:val="00E57CA5"/>
    <w:rsid w:val="00E612F5"/>
    <w:rsid w:val="00E63239"/>
    <w:rsid w:val="00E753EB"/>
    <w:rsid w:val="00E874E1"/>
    <w:rsid w:val="00E91868"/>
    <w:rsid w:val="00EA73D0"/>
    <w:rsid w:val="00EE4C29"/>
    <w:rsid w:val="00F4035A"/>
    <w:rsid w:val="00F42B8F"/>
    <w:rsid w:val="00F6002B"/>
    <w:rsid w:val="00FA2E0E"/>
    <w:rsid w:val="00FA5743"/>
    <w:rsid w:val="00FA79AB"/>
    <w:rsid w:val="00FB73E8"/>
    <w:rsid w:val="00FC2760"/>
    <w:rsid w:val="00FC693F"/>
    <w:rsid w:val="00FE0F8B"/>
    <w:rsid w:val="02229819"/>
    <w:rsid w:val="0812DED7"/>
    <w:rsid w:val="1022C2E3"/>
    <w:rsid w:val="1E133372"/>
    <w:rsid w:val="238608D6"/>
    <w:rsid w:val="2662072E"/>
    <w:rsid w:val="395E4DDF"/>
    <w:rsid w:val="3BA6B11F"/>
    <w:rsid w:val="4350BF2B"/>
    <w:rsid w:val="52FCB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AFB1EE"/>
  <w14:defaultImageDpi w14:val="330"/>
  <w15:docId w15:val="{FA8A5F1B-3FAC-4B95-A85E-752734AF9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6B"/>
    <w:rPr>
      <w:rFonts w:ascii="Neue Haas Grotesk Text Pro" w:hAnsi="Neue Haas Grotesk Text Pro"/>
      <w:lang w:val="en-GB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C16F61"/>
    <w:pPr>
      <w:outlineLvl w:val="0"/>
    </w:pPr>
    <w:rPr>
      <w:rFonts w:ascii="Neue Haas Grotesk Text Pro" w:hAnsi="Neue Haas Grotesk Text Pro" w:cs="Calibri"/>
      <w:color w:val="aut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16F61"/>
    <w:rPr>
      <w:rFonts w:ascii="Neue Haas Grotesk Text Pro" w:eastAsiaTheme="majorEastAsia" w:hAnsi="Neue Haas Grotesk Text Pro" w:cs="Calibr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6648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481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C68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68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68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8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8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4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edstrinity.sharepoint.com/:u:/r/sites/ResearchOffice/SitePages/Process--Applying-for-External-Funding.aspx?csf=1&amp;web=1&amp;e=KsvId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krio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llcome.org/grant-fundin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thebritishacademy.ac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kri.org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806</Words>
  <Characters>4458</Characters>
  <Application>Microsoft Office Word</Application>
  <DocSecurity>0</DocSecurity>
  <Lines>131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Costing and Pricing Policy</vt:lpstr>
    </vt:vector>
  </TitlesOfParts>
  <Manager/>
  <Company/>
  <LinksUpToDate>false</LinksUpToDate>
  <CharactersWithSpaces>5182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Costing and Pricing Policy</dc:title>
  <dc:subject/>
  <dc:creator>Helen Lorentz</dc:creator>
  <cp:keywords/>
  <dc:description/>
  <cp:lastModifiedBy>Alex Jennings</cp:lastModifiedBy>
  <cp:revision>127</cp:revision>
  <dcterms:created xsi:type="dcterms:W3CDTF">2025-09-26T09:14:00Z</dcterms:created>
  <dcterms:modified xsi:type="dcterms:W3CDTF">2026-03-19T08:33:00Z</dcterms:modified>
  <cp:category/>
</cp:coreProperties>
</file>